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5A1BC">
      <w:pPr>
        <w:pStyle w:val="2"/>
        <w:spacing w:line="277" w:lineRule="auto"/>
      </w:pPr>
    </w:p>
    <w:p w14:paraId="03D63BA3">
      <w:pPr>
        <w:pStyle w:val="2"/>
        <w:spacing w:line="277" w:lineRule="auto"/>
      </w:pPr>
    </w:p>
    <w:p w14:paraId="20487895">
      <w:pPr>
        <w:pStyle w:val="2"/>
        <w:spacing w:line="277" w:lineRule="auto"/>
      </w:pPr>
    </w:p>
    <w:p w14:paraId="3295A946">
      <w:pPr>
        <w:pStyle w:val="2"/>
        <w:spacing w:line="278" w:lineRule="auto"/>
      </w:pPr>
    </w:p>
    <w:p w14:paraId="0017EC0B">
      <w:pPr>
        <w:pStyle w:val="2"/>
        <w:spacing w:line="278" w:lineRule="auto"/>
      </w:pPr>
    </w:p>
    <w:p w14:paraId="744144E5">
      <w:pPr>
        <w:spacing w:before="152" w:line="236" w:lineRule="auto"/>
        <w:jc w:val="center"/>
        <w:rPr>
          <w:rFonts w:hint="default" w:ascii="楷体" w:hAnsi="楷体" w:eastAsia="楷体" w:cs="楷体"/>
          <w:sz w:val="47"/>
          <w:szCs w:val="47"/>
          <w:lang w:val="en-US" w:eastAsia="zh-CN"/>
        </w:rPr>
      </w:pPr>
      <w:r>
        <w:rPr>
          <w:rFonts w:hint="eastAsia" w:ascii="楷体" w:hAnsi="楷体" w:eastAsia="楷体" w:cs="楷体"/>
          <w:b/>
          <w:bCs/>
          <w:spacing w:val="88"/>
          <w:w w:val="130"/>
          <w:sz w:val="47"/>
          <w:szCs w:val="47"/>
          <w:lang w:val="en-US" w:eastAsia="zh-CN"/>
        </w:rPr>
        <w:t>花城汇北中南三区及海心沙 11宗欠费案件专项律师代理服务采购项目</w:t>
      </w:r>
    </w:p>
    <w:p w14:paraId="05A8E78A">
      <w:pPr>
        <w:pStyle w:val="2"/>
        <w:spacing w:line="244" w:lineRule="auto"/>
      </w:pPr>
    </w:p>
    <w:p w14:paraId="2CB7C860">
      <w:pPr>
        <w:pStyle w:val="2"/>
        <w:spacing w:line="244" w:lineRule="auto"/>
      </w:pPr>
    </w:p>
    <w:p w14:paraId="2E048AFA">
      <w:pPr>
        <w:pStyle w:val="2"/>
        <w:spacing w:line="257" w:lineRule="auto"/>
      </w:pPr>
    </w:p>
    <w:p w14:paraId="74B594A5">
      <w:pPr>
        <w:pStyle w:val="2"/>
        <w:spacing w:line="257" w:lineRule="auto"/>
      </w:pPr>
    </w:p>
    <w:p w14:paraId="1EAB273B">
      <w:pPr>
        <w:pStyle w:val="2"/>
        <w:spacing w:line="257" w:lineRule="auto"/>
      </w:pPr>
    </w:p>
    <w:p w14:paraId="10E05F7F">
      <w:pPr>
        <w:pStyle w:val="2"/>
        <w:spacing w:line="257" w:lineRule="auto"/>
      </w:pPr>
    </w:p>
    <w:p w14:paraId="3DF5F976">
      <w:pPr>
        <w:pStyle w:val="2"/>
        <w:spacing w:line="257" w:lineRule="auto"/>
      </w:pPr>
    </w:p>
    <w:p w14:paraId="0707DBBC">
      <w:pPr>
        <w:pStyle w:val="2"/>
        <w:spacing w:line="257" w:lineRule="auto"/>
      </w:pPr>
    </w:p>
    <w:p w14:paraId="653E2ADF">
      <w:pPr>
        <w:pStyle w:val="2"/>
        <w:spacing w:line="258" w:lineRule="auto"/>
      </w:pPr>
    </w:p>
    <w:p w14:paraId="13EAB9DF">
      <w:pPr>
        <w:spacing w:before="257" w:line="234" w:lineRule="auto"/>
        <w:ind w:left="3283"/>
        <w:rPr>
          <w:rFonts w:ascii="楷体" w:hAnsi="楷体" w:eastAsia="楷体" w:cs="楷体"/>
          <w:sz w:val="79"/>
          <w:szCs w:val="79"/>
        </w:rPr>
      </w:pPr>
      <w:r>
        <w:rPr>
          <w:rFonts w:hint="eastAsia" w:ascii="楷体" w:hAnsi="楷体" w:eastAsia="楷体" w:cs="楷体"/>
          <w:b/>
          <w:bCs/>
          <w:spacing w:val="154"/>
          <w:w w:val="127"/>
          <w:sz w:val="79"/>
          <w:szCs w:val="79"/>
          <w:lang w:val="en-US" w:eastAsia="zh-CN"/>
        </w:rPr>
        <w:t>比</w:t>
      </w:r>
      <w:r>
        <w:rPr>
          <w:rFonts w:ascii="楷体" w:hAnsi="楷体" w:eastAsia="楷体" w:cs="楷体"/>
          <w:b/>
          <w:bCs/>
          <w:spacing w:val="154"/>
          <w:w w:val="127"/>
          <w:sz w:val="79"/>
          <w:szCs w:val="79"/>
        </w:rPr>
        <w:t>选</w:t>
      </w:r>
    </w:p>
    <w:p w14:paraId="60CB5A38">
      <w:pPr>
        <w:spacing w:before="35" w:line="229" w:lineRule="auto"/>
        <w:ind w:left="2022"/>
        <w:rPr>
          <w:rFonts w:ascii="楷体" w:hAnsi="楷体" w:eastAsia="楷体" w:cs="楷体"/>
          <w:sz w:val="79"/>
          <w:szCs w:val="79"/>
        </w:rPr>
      </w:pPr>
      <w:r>
        <w:rPr>
          <w:rFonts w:ascii="楷体" w:hAnsi="楷体" w:eastAsia="楷体" w:cs="楷体"/>
          <w:b/>
          <w:bCs/>
          <w:spacing w:val="133"/>
          <w:w w:val="134"/>
          <w:sz w:val="79"/>
          <w:szCs w:val="79"/>
        </w:rPr>
        <w:t>采购文件</w:t>
      </w:r>
    </w:p>
    <w:p w14:paraId="1AAC8301">
      <w:pPr>
        <w:pStyle w:val="2"/>
      </w:pPr>
    </w:p>
    <w:p w14:paraId="26AFF6A4">
      <w:pPr>
        <w:pStyle w:val="2"/>
      </w:pPr>
    </w:p>
    <w:p w14:paraId="548F9137">
      <w:pPr>
        <w:pStyle w:val="2"/>
      </w:pPr>
    </w:p>
    <w:p w14:paraId="7902FDC4">
      <w:pPr>
        <w:pStyle w:val="2"/>
      </w:pPr>
    </w:p>
    <w:p w14:paraId="7134F69B">
      <w:pPr>
        <w:pStyle w:val="2"/>
      </w:pPr>
    </w:p>
    <w:p w14:paraId="29090C68">
      <w:pPr>
        <w:pStyle w:val="2"/>
      </w:pPr>
    </w:p>
    <w:p w14:paraId="0EF00C58">
      <w:pPr>
        <w:pStyle w:val="2"/>
      </w:pPr>
    </w:p>
    <w:p w14:paraId="735D6A0A">
      <w:pPr>
        <w:pStyle w:val="2"/>
      </w:pPr>
    </w:p>
    <w:p w14:paraId="3CF3976F">
      <w:pPr>
        <w:pStyle w:val="2"/>
      </w:pPr>
    </w:p>
    <w:p w14:paraId="1E225094">
      <w:pPr>
        <w:pStyle w:val="2"/>
        <w:spacing w:line="241" w:lineRule="auto"/>
      </w:pPr>
    </w:p>
    <w:p w14:paraId="23EC2AB5">
      <w:pPr>
        <w:pStyle w:val="2"/>
        <w:spacing w:line="241" w:lineRule="auto"/>
      </w:pPr>
    </w:p>
    <w:p w14:paraId="4DF498B8">
      <w:pPr>
        <w:pStyle w:val="2"/>
        <w:spacing w:line="241" w:lineRule="auto"/>
      </w:pPr>
    </w:p>
    <w:p w14:paraId="7CF9D70A">
      <w:pPr>
        <w:pStyle w:val="2"/>
        <w:spacing w:line="241" w:lineRule="auto"/>
      </w:pPr>
    </w:p>
    <w:p w14:paraId="67B3C8F4">
      <w:pPr>
        <w:spacing w:before="114" w:line="228" w:lineRule="auto"/>
        <w:ind w:left="1726"/>
        <w:rPr>
          <w:rFonts w:ascii="楷体" w:hAnsi="楷体" w:eastAsia="楷体" w:cs="楷体"/>
          <w:sz w:val="35"/>
          <w:szCs w:val="35"/>
        </w:rPr>
      </w:pPr>
      <w:r>
        <w:rPr>
          <w:rFonts w:ascii="楷体" w:hAnsi="楷体" w:eastAsia="楷体" w:cs="楷体"/>
          <w:b/>
          <w:bCs/>
          <w:spacing w:val="6"/>
          <w:sz w:val="35"/>
          <w:szCs w:val="35"/>
        </w:rPr>
        <w:t>广州市城投资产经营管理有限公司</w:t>
      </w:r>
    </w:p>
    <w:p w14:paraId="73B8ACBA">
      <w:pPr>
        <w:spacing w:before="34" w:line="231" w:lineRule="auto"/>
        <w:ind w:left="3165"/>
        <w:rPr>
          <w:rFonts w:ascii="楷体" w:hAnsi="楷体" w:eastAsia="楷体" w:cs="楷体"/>
          <w:sz w:val="35"/>
          <w:szCs w:val="35"/>
        </w:rPr>
      </w:pPr>
      <w:r>
        <w:rPr>
          <w:rFonts w:ascii="楷体" w:hAnsi="楷体" w:eastAsia="楷体" w:cs="楷体"/>
          <w:b/>
          <w:bCs/>
          <w:spacing w:val="5"/>
          <w:sz w:val="35"/>
          <w:szCs w:val="35"/>
        </w:rPr>
        <w:t>珠江新城分公司</w:t>
      </w:r>
    </w:p>
    <w:p w14:paraId="2EBB3520">
      <w:pPr>
        <w:pStyle w:val="2"/>
        <w:spacing w:line="337" w:lineRule="auto"/>
      </w:pPr>
    </w:p>
    <w:p w14:paraId="3E20C212">
      <w:pPr>
        <w:spacing w:before="101" w:line="231" w:lineRule="auto"/>
        <w:jc w:val="center"/>
        <w:rPr>
          <w:rFonts w:ascii="楷体" w:hAnsi="楷体" w:eastAsia="楷体" w:cs="楷体"/>
          <w:sz w:val="31"/>
          <w:szCs w:val="31"/>
        </w:rPr>
      </w:pPr>
      <w:r>
        <w:rPr>
          <w:rFonts w:hint="eastAsia" w:ascii="楷体" w:hAnsi="楷体" w:eastAsia="楷体" w:cs="楷体"/>
          <w:b/>
          <w:bCs/>
          <w:spacing w:val="8"/>
          <w:sz w:val="31"/>
          <w:szCs w:val="31"/>
          <w:lang w:val="en-US" w:eastAsia="zh-CN"/>
        </w:rPr>
        <w:t>2026</w:t>
      </w:r>
      <w:r>
        <w:rPr>
          <w:rFonts w:ascii="楷体" w:hAnsi="楷体" w:eastAsia="楷体" w:cs="楷体"/>
          <w:b/>
          <w:bCs/>
          <w:spacing w:val="8"/>
          <w:sz w:val="31"/>
          <w:szCs w:val="31"/>
        </w:rPr>
        <w:t>年</w:t>
      </w:r>
      <w:r>
        <w:rPr>
          <w:rFonts w:hint="eastAsia" w:ascii="楷体" w:hAnsi="楷体" w:eastAsia="楷体" w:cs="楷体"/>
          <w:b/>
          <w:bCs/>
          <w:spacing w:val="8"/>
          <w:sz w:val="31"/>
          <w:szCs w:val="31"/>
          <w:lang w:val="en-US" w:eastAsia="zh-CN"/>
        </w:rPr>
        <w:t>6</w:t>
      </w:r>
      <w:r>
        <w:rPr>
          <w:rFonts w:ascii="楷体" w:hAnsi="楷体" w:eastAsia="楷体" w:cs="楷体"/>
          <w:b/>
          <w:bCs/>
          <w:spacing w:val="8"/>
          <w:sz w:val="31"/>
          <w:szCs w:val="31"/>
        </w:rPr>
        <w:t>月</w:t>
      </w:r>
    </w:p>
    <w:p w14:paraId="75153CE0">
      <w:pPr>
        <w:spacing w:line="231" w:lineRule="auto"/>
        <w:rPr>
          <w:rFonts w:ascii="楷体" w:hAnsi="楷体" w:eastAsia="楷体" w:cs="楷体"/>
          <w:sz w:val="31"/>
          <w:szCs w:val="31"/>
        </w:rPr>
      </w:pPr>
    </w:p>
    <w:p w14:paraId="3CD59935">
      <w:pPr>
        <w:spacing w:line="231" w:lineRule="auto"/>
        <w:rPr>
          <w:rFonts w:ascii="楷体" w:hAnsi="楷体" w:eastAsia="楷体" w:cs="楷体"/>
          <w:sz w:val="31"/>
          <w:szCs w:val="31"/>
        </w:rPr>
        <w:sectPr>
          <w:pgSz w:w="11907" w:h="16840"/>
          <w:pgMar w:top="1431" w:right="1483" w:bottom="0" w:left="1565" w:header="0" w:footer="0" w:gutter="0"/>
          <w:cols w:space="720" w:num="1"/>
        </w:sectPr>
      </w:pPr>
    </w:p>
    <w:p w14:paraId="69A20988">
      <w:pPr>
        <w:pStyle w:val="2"/>
        <w:spacing w:line="411" w:lineRule="auto"/>
      </w:pPr>
    </w:p>
    <w:p w14:paraId="7AF275B2">
      <w:pPr>
        <w:spacing w:before="101" w:line="228" w:lineRule="auto"/>
        <w:ind w:left="3411"/>
        <w:outlineLvl w:val="0"/>
        <w:rPr>
          <w:rFonts w:ascii="仿宋" w:hAnsi="仿宋" w:eastAsia="仿宋" w:cs="仿宋"/>
          <w:sz w:val="31"/>
          <w:szCs w:val="31"/>
        </w:rPr>
      </w:pPr>
      <w:r>
        <w:rPr>
          <w:rFonts w:ascii="仿宋" w:hAnsi="仿宋" w:eastAsia="仿宋" w:cs="仿宋"/>
          <w:b/>
          <w:bCs/>
          <w:spacing w:val="20"/>
          <w:sz w:val="31"/>
          <w:szCs w:val="31"/>
        </w:rPr>
        <w:t>一、</w:t>
      </w:r>
      <w:r>
        <w:rPr>
          <w:rFonts w:hint="eastAsia" w:ascii="仿宋" w:hAnsi="仿宋" w:eastAsia="仿宋" w:cs="仿宋"/>
          <w:b/>
          <w:bCs/>
          <w:spacing w:val="20"/>
          <w:sz w:val="31"/>
          <w:szCs w:val="31"/>
          <w:lang w:val="en-US" w:eastAsia="zh-CN"/>
        </w:rPr>
        <w:t>比</w:t>
      </w:r>
      <w:r>
        <w:rPr>
          <w:rFonts w:ascii="仿宋" w:hAnsi="仿宋" w:eastAsia="仿宋" w:cs="仿宋"/>
          <w:b/>
          <w:bCs/>
          <w:spacing w:val="20"/>
          <w:sz w:val="31"/>
          <w:szCs w:val="31"/>
        </w:rPr>
        <w:t>选采购公告</w:t>
      </w:r>
    </w:p>
    <w:p w14:paraId="21BE0928">
      <w:pPr>
        <w:spacing w:before="226" w:line="360" w:lineRule="auto"/>
        <w:ind w:right="122" w:firstLine="479"/>
        <w:rPr>
          <w:rFonts w:ascii="宋体" w:hAnsi="宋体" w:eastAsia="宋体" w:cs="宋体"/>
          <w:sz w:val="24"/>
          <w:szCs w:val="24"/>
        </w:rPr>
      </w:pPr>
      <w:r>
        <w:rPr>
          <w:rFonts w:hint="eastAsia" w:ascii="宋体" w:hAnsi="宋体" w:eastAsia="宋体" w:cs="宋体"/>
          <w:spacing w:val="3"/>
          <w:sz w:val="24"/>
          <w:szCs w:val="24"/>
        </w:rPr>
        <w:t>广州市城投资产经营管理有限公司珠江新城分公司（以下简称“采购方”）就以下采购项目进行公开采购，欢迎符合资格条件的</w:t>
      </w:r>
      <w:r>
        <w:rPr>
          <w:rFonts w:hint="eastAsia" w:ascii="宋体" w:hAnsi="宋体" w:eastAsia="宋体" w:cs="宋体"/>
          <w:spacing w:val="3"/>
          <w:sz w:val="24"/>
          <w:szCs w:val="24"/>
          <w:lang w:eastAsia="zh-CN"/>
        </w:rPr>
        <w:t>竞投人</w:t>
      </w:r>
      <w:r>
        <w:rPr>
          <w:rFonts w:hint="eastAsia" w:ascii="宋体" w:hAnsi="宋体" w:eastAsia="宋体" w:cs="宋体"/>
          <w:spacing w:val="3"/>
          <w:sz w:val="24"/>
          <w:szCs w:val="24"/>
        </w:rPr>
        <w:t>参与。</w:t>
      </w:r>
    </w:p>
    <w:p w14:paraId="2CCAC14C">
      <w:pPr>
        <w:spacing w:line="360" w:lineRule="auto"/>
        <w:ind w:left="0" w:firstLine="562" w:firstLineChars="200"/>
        <w:rPr>
          <w:rStyle w:val="16"/>
          <w:rFonts w:ascii="Times New Roman" w:hAnsi="Times New Roman" w:eastAsia="黑体" w:cs="Times New Roman"/>
          <w:bCs/>
          <w:sz w:val="28"/>
          <w:szCs w:val="28"/>
        </w:rPr>
      </w:pPr>
      <w:r>
        <w:rPr>
          <w:rStyle w:val="16"/>
          <w:rFonts w:ascii="Times New Roman" w:hAnsi="Times New Roman" w:eastAsia="黑体" w:cs="Times New Roman"/>
          <w:bCs/>
          <w:sz w:val="28"/>
          <w:szCs w:val="28"/>
        </w:rPr>
        <w:t>一、项目名称</w:t>
      </w:r>
    </w:p>
    <w:p w14:paraId="7292EF34">
      <w:pPr>
        <w:spacing w:line="360" w:lineRule="auto"/>
        <w:ind w:left="0" w:firstLine="492"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花城汇北中南三区及海心沙11宗欠费案件专项律师代理服务采购项目</w:t>
      </w:r>
    </w:p>
    <w:p w14:paraId="0BB728CE">
      <w:pPr>
        <w:widowControl/>
        <w:spacing w:before="0" w:beforeLines="0" w:beforeAutospacing="0" w:after="0" w:afterLines="0" w:afterAutospacing="0" w:line="500" w:lineRule="exact"/>
        <w:ind w:firstLine="562" w:firstLineChars="200"/>
        <w:jc w:val="both"/>
        <w:rPr>
          <w:rFonts w:ascii="Times New Roman" w:hAnsi="Times New Roman" w:eastAsia="宋体" w:cs="Times New Roman"/>
          <w:b/>
          <w:bCs/>
          <w:kern w:val="0"/>
          <w:sz w:val="24"/>
          <w:szCs w:val="24"/>
          <w:lang w:val="en-US" w:eastAsia="zh-CN" w:bidi="ar-SA"/>
        </w:rPr>
      </w:pPr>
      <w:r>
        <w:rPr>
          <w:rStyle w:val="16"/>
          <w:rFonts w:ascii="Times New Roman" w:hAnsi="Times New Roman" w:eastAsia="黑体" w:cs="Times New Roman"/>
          <w:bCs/>
          <w:kern w:val="2"/>
          <w:sz w:val="28"/>
          <w:szCs w:val="28"/>
          <w:lang w:val="en-US" w:eastAsia="zh-CN" w:bidi="ar-SA"/>
        </w:rPr>
        <w:t>二、项目类别</w:t>
      </w:r>
    </w:p>
    <w:p w14:paraId="00AC0EAB">
      <w:pPr>
        <w:spacing w:line="360" w:lineRule="auto"/>
        <w:ind w:left="0" w:firstLine="468" w:firstLineChars="200"/>
        <w:rPr>
          <w:rFonts w:ascii="宋体" w:hAnsi="宋体" w:eastAsia="宋体" w:cs="宋体"/>
          <w:spacing w:val="-3"/>
          <w:sz w:val="24"/>
          <w:szCs w:val="24"/>
        </w:rPr>
      </w:pPr>
      <w:r>
        <w:rPr>
          <w:rFonts w:ascii="宋体" w:hAnsi="宋体" w:eastAsia="宋体" w:cs="宋体"/>
          <w:spacing w:val="-3"/>
          <w:sz w:val="24"/>
          <w:szCs w:val="24"/>
        </w:rPr>
        <w:t>服务类</w:t>
      </w:r>
    </w:p>
    <w:p w14:paraId="4BDEF40B">
      <w:pPr>
        <w:widowControl/>
        <w:spacing w:before="0" w:beforeLines="0" w:beforeAutospacing="0" w:after="0" w:afterLines="0" w:afterAutospacing="0" w:line="500" w:lineRule="exact"/>
        <w:ind w:firstLine="562" w:firstLineChars="200"/>
        <w:jc w:val="both"/>
        <w:rPr>
          <w:rStyle w:val="16"/>
          <w:rFonts w:ascii="Times New Roman" w:hAnsi="Times New Roman" w:eastAsia="宋体" w:cs="Times New Roman"/>
          <w:bCs/>
          <w:kern w:val="0"/>
          <w:sz w:val="24"/>
          <w:szCs w:val="24"/>
          <w:lang w:val="en-US" w:eastAsia="zh-CN" w:bidi="ar-SA"/>
        </w:rPr>
      </w:pPr>
      <w:r>
        <w:rPr>
          <w:rStyle w:val="16"/>
          <w:rFonts w:ascii="Times New Roman" w:hAnsi="Times New Roman" w:eastAsia="黑体" w:cs="Times New Roman"/>
          <w:bCs/>
          <w:kern w:val="2"/>
          <w:sz w:val="28"/>
          <w:szCs w:val="28"/>
          <w:lang w:val="en-US" w:eastAsia="zh-CN" w:bidi="ar-SA"/>
        </w:rPr>
        <w:t>三、采购方式</w:t>
      </w:r>
    </w:p>
    <w:p w14:paraId="2604CE2A">
      <w:pPr>
        <w:spacing w:line="360" w:lineRule="auto"/>
        <w:ind w:left="0" w:firstLine="468" w:firstLineChars="20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比选采购</w:t>
      </w:r>
    </w:p>
    <w:p w14:paraId="7547E81C">
      <w:pPr>
        <w:spacing w:line="360" w:lineRule="auto"/>
        <w:ind w:left="0" w:firstLine="562" w:firstLineChars="200"/>
        <w:rPr>
          <w:rStyle w:val="16"/>
          <w:rFonts w:ascii="Times New Roman" w:hAnsi="Times New Roman" w:eastAsia="黑体" w:cs="Times New Roman"/>
          <w:bCs/>
          <w:sz w:val="28"/>
          <w:szCs w:val="28"/>
        </w:rPr>
      </w:pPr>
      <w:r>
        <w:rPr>
          <w:rStyle w:val="16"/>
          <w:rFonts w:ascii="Times New Roman" w:hAnsi="Times New Roman" w:eastAsia="黑体" w:cs="Times New Roman"/>
          <w:bCs/>
          <w:sz w:val="28"/>
          <w:szCs w:val="28"/>
        </w:rPr>
        <w:t>四、采购内容</w:t>
      </w:r>
    </w:p>
    <w:p w14:paraId="7982476B">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为采购人追讨花城汇北中南三区及海心沙11家租户租金欠款、综合管理费欠款提供律师服务，成交单位委派律师在一审、二审及执行阶段中担任采购人的委托代理人。包括以下事项：</w:t>
      </w:r>
    </w:p>
    <w:p w14:paraId="538DB7E9">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1.参与磋商、谈判工作，进行法律分析、论证；</w:t>
      </w:r>
    </w:p>
    <w:p w14:paraId="22D8473E">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2.解答法律咨询、提供法律建议；</w:t>
      </w:r>
    </w:p>
    <w:p w14:paraId="58CF50E6">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3.出具律师意见书、律师函，协助草拟、制订、审查或者修改相关法律文书；</w:t>
      </w:r>
    </w:p>
    <w:p w14:paraId="1A50A07D">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对追讨花城汇北中南三区及海心沙11家租户全过程合同纠纷案诉讼代理等相关事宜，在前述纠纷中的一审、二审(如有)、执行(如有)中担任我司的委托代理人，代理期限至全部委托事项办结(如涉及执行阶段，则执行阶段至执行法院首次裁定终结执行程序视为办结)；11家租户信息如下：</w:t>
      </w:r>
    </w:p>
    <w:p w14:paraId="49654B7A">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(1)广州禾和禄餐饮服务有限公司、张燕玲</w:t>
      </w:r>
    </w:p>
    <w:p w14:paraId="68CE7CEE">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(2)广州朱迪先生企业管理有限公司、王建军</w:t>
      </w:r>
    </w:p>
    <w:p w14:paraId="64AA23A1">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(3)广州苗翠餐饮有限公司</w:t>
      </w:r>
    </w:p>
    <w:p w14:paraId="7CC3E271">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(4)蛙来哒(广州)餐饮管理有限公司</w:t>
      </w:r>
    </w:p>
    <w:p w14:paraId="162AECFA">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(5)广州城汇餐饮管理有限公司</w:t>
      </w:r>
    </w:p>
    <w:p w14:paraId="121159E0">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(6)广州市天河区猎德东篱仙茗茶饮店、深圳茶姬企业管理有限公司</w:t>
      </w:r>
    </w:p>
    <w:p w14:paraId="47039564">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(7)广州市至托商贸有限公司</w:t>
      </w:r>
    </w:p>
    <w:p w14:paraId="72254B0A">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(8)广州市磁场策划有限公司、阳大蓉</w:t>
      </w:r>
    </w:p>
    <w:p w14:paraId="5BC4D16A">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(9)海心汇控股(广州)有限公司、骆小燕</w:t>
      </w:r>
    </w:p>
    <w:p w14:paraId="777403D4">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(10)宇视无忧(广州)品牌管理有限公司、梁冬</w:t>
      </w:r>
    </w:p>
    <w:p w14:paraId="563E17AA">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(11)广州商盟企业管理有限公司、骆小燕</w:t>
      </w:r>
    </w:p>
    <w:p w14:paraId="45FA9821">
      <w:pPr>
        <w:spacing w:line="360" w:lineRule="auto"/>
        <w:ind w:left="0"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在前述纠纷中的一审、二审(如有)、执行(如有)中担任甲方的委托代理人，代理期限至全部委托事项办结(如涉及执行阶段，则执行阶段至执行法院首次裁定终结执行程序视为办结)；</w:t>
      </w:r>
    </w:p>
    <w:p w14:paraId="2EAEC5AC">
      <w:pPr>
        <w:spacing w:line="360" w:lineRule="auto"/>
        <w:ind w:left="0" w:firstLine="476" w:firstLineChars="200"/>
        <w:rPr>
          <w:rFonts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5.应采购人要求，参与本专项代理其他有关的事宜。</w:t>
      </w:r>
    </w:p>
    <w:p w14:paraId="7126D497">
      <w:pPr>
        <w:widowControl/>
        <w:spacing w:before="0" w:beforeLines="0" w:beforeAutospacing="0" w:after="0" w:afterLines="0" w:afterAutospacing="0" w:line="500" w:lineRule="exact"/>
        <w:ind w:firstLine="562" w:firstLineChars="200"/>
        <w:jc w:val="both"/>
        <w:rPr>
          <w:rStyle w:val="16"/>
          <w:rFonts w:ascii="Times New Roman" w:hAnsi="Times New Roman" w:eastAsia="黑体" w:cs="Times New Roman"/>
          <w:kern w:val="0"/>
          <w:sz w:val="28"/>
          <w:szCs w:val="28"/>
          <w:lang w:val="en-US" w:eastAsia="zh-CN" w:bidi="ar-SA"/>
        </w:rPr>
      </w:pPr>
      <w:r>
        <w:rPr>
          <w:rStyle w:val="16"/>
          <w:rFonts w:ascii="Times New Roman" w:hAnsi="Times New Roman" w:eastAsia="黑体" w:cs="Times New Roman"/>
          <w:bCs/>
          <w:kern w:val="2"/>
          <w:sz w:val="28"/>
          <w:szCs w:val="28"/>
          <w:lang w:val="en-US" w:eastAsia="zh-CN" w:bidi="ar-SA"/>
        </w:rPr>
        <w:t>五、采购控制价</w:t>
      </w:r>
    </w:p>
    <w:p w14:paraId="71848AF2">
      <w:pPr>
        <w:spacing w:line="360" w:lineRule="auto"/>
        <w:ind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155000</w:t>
      </w:r>
      <w:r>
        <w:rPr>
          <w:rFonts w:ascii="宋体" w:hAnsi="宋体" w:eastAsia="宋体" w:cs="宋体"/>
          <w:spacing w:val="-1"/>
          <w:sz w:val="24"/>
          <w:szCs w:val="24"/>
        </w:rPr>
        <w:t>元，高于限价的报价</w:t>
      </w:r>
      <w:r>
        <w:rPr>
          <w:rFonts w:hint="eastAsia" w:ascii="宋体" w:hAnsi="宋体" w:eastAsia="宋体" w:cs="宋体"/>
          <w:spacing w:val="-1"/>
          <w:sz w:val="24"/>
          <w:szCs w:val="24"/>
          <w:lang w:val="en-US" w:eastAsia="zh-CN"/>
        </w:rPr>
        <w:t>无效。</w:t>
      </w:r>
    </w:p>
    <w:p w14:paraId="20B6E844">
      <w:pPr>
        <w:widowControl/>
        <w:spacing w:before="0" w:beforeLines="0" w:beforeAutospacing="0" w:after="0" w:afterLines="0" w:afterAutospacing="0" w:line="500" w:lineRule="exact"/>
        <w:ind w:firstLine="562" w:firstLineChars="200"/>
        <w:jc w:val="both"/>
        <w:rPr>
          <w:rStyle w:val="16"/>
          <w:rFonts w:ascii="Times New Roman" w:hAnsi="Times New Roman" w:eastAsia="黑体" w:cs="Times New Roman"/>
          <w:bCs/>
          <w:kern w:val="0"/>
          <w:sz w:val="28"/>
          <w:szCs w:val="28"/>
          <w:lang w:val="en-US" w:eastAsia="zh-CN" w:bidi="ar-SA"/>
        </w:rPr>
      </w:pPr>
      <w:r>
        <w:rPr>
          <w:rStyle w:val="16"/>
          <w:rFonts w:ascii="Times New Roman" w:hAnsi="Times New Roman" w:eastAsia="黑体" w:cs="Times New Roman"/>
          <w:bCs/>
          <w:kern w:val="2"/>
          <w:sz w:val="28"/>
          <w:szCs w:val="28"/>
          <w:lang w:val="en-US" w:eastAsia="zh-CN" w:bidi="ar-SA"/>
        </w:rPr>
        <w:t>六、竞投人资格条件</w:t>
      </w:r>
    </w:p>
    <w:p w14:paraId="56825C60">
      <w:pPr>
        <w:widowControl/>
        <w:shd w:val="clear" w:color="auto" w:fill="FFFFFF"/>
        <w:kinsoku/>
        <w:autoSpaceDE/>
        <w:autoSpaceDN/>
        <w:adjustRightInd/>
        <w:snapToGrid w:val="0"/>
        <w:spacing w:line="312" w:lineRule="auto"/>
        <w:ind w:firstLine="465"/>
        <w:jc w:val="left"/>
        <w:textAlignment w:val="auto"/>
        <w:rPr>
          <w:rFonts w:hint="eastAsia" w:ascii="宋体" w:hAnsi="宋体" w:eastAsia="宋体" w:cs="宋体"/>
          <w:snapToGrid/>
          <w:color w:val="000000"/>
          <w:kern w:val="0"/>
          <w:sz w:val="24"/>
          <w:szCs w:val="24"/>
          <w:lang w:eastAsia="zh-CN"/>
        </w:rPr>
      </w:pPr>
      <w:r>
        <w:rPr>
          <w:rFonts w:hint="eastAsia" w:ascii="宋体" w:hAnsi="宋体" w:eastAsia="宋体" w:cs="宋体"/>
          <w:snapToGrid/>
          <w:color w:val="000000"/>
          <w:kern w:val="0"/>
          <w:sz w:val="24"/>
          <w:szCs w:val="24"/>
          <w:lang w:eastAsia="zh-CN"/>
        </w:rPr>
        <w:t>（一）竞投人须是具有独立承担民事责任能力的在中华人民共和国境内注册的法人或其他组织，提供有效的营业执照（或事业单位法人证书、</w:t>
      </w:r>
      <w:r>
        <w:rPr>
          <w:rFonts w:hint="eastAsia" w:ascii="宋体" w:hAnsi="宋体" w:eastAsia="宋体" w:cs="宋体"/>
          <w:i w:val="0"/>
          <w:caps w:val="0"/>
          <w:snapToGrid/>
          <w:color w:val="000000"/>
          <w:spacing w:val="0"/>
          <w:sz w:val="24"/>
          <w:szCs w:val="24"/>
          <w:shd w:val="clear" w:fill="auto"/>
          <w:lang w:eastAsia="zh-CN"/>
        </w:rPr>
        <w:t>执业许可证</w:t>
      </w:r>
      <w:r>
        <w:rPr>
          <w:rFonts w:hint="eastAsia" w:ascii="宋体" w:hAnsi="宋体" w:eastAsia="宋体" w:cs="宋体"/>
          <w:snapToGrid/>
          <w:color w:val="000000"/>
          <w:kern w:val="0"/>
          <w:sz w:val="24"/>
          <w:szCs w:val="24"/>
          <w:lang w:eastAsia="zh-CN"/>
        </w:rPr>
        <w:t>等证明材料）复印件。</w:t>
      </w:r>
    </w:p>
    <w:p w14:paraId="11E958E3">
      <w:pPr>
        <w:widowControl/>
        <w:shd w:val="clear" w:color="auto" w:fill="FFFFFF"/>
        <w:kinsoku/>
        <w:autoSpaceDE/>
        <w:autoSpaceDN/>
        <w:adjustRightInd/>
        <w:snapToGrid w:val="0"/>
        <w:spacing w:line="312" w:lineRule="auto"/>
        <w:ind w:firstLine="465"/>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二）竞投人具有律师事务所执业许可证或律师事务所分所执业许可证，在执业和年检过程中，年检合格。【须提供有效期内的执业许可证明及年检合格证明（分所投标的，须提供《律师事务所分所执业许可证》及年检合格材料；总所投标的，须提供《律师事务所执业许可证》及年检合格材料），竞投人近年度司法行政机关执业年检结果为合格，无年检不合格、停业整顿、吊销执业资质等违规情形】</w:t>
      </w:r>
    </w:p>
    <w:p w14:paraId="6F747515">
      <w:pPr>
        <w:widowControl/>
        <w:shd w:val="clear" w:color="auto" w:fill="FFFFFF"/>
        <w:kinsoku/>
        <w:autoSpaceDE/>
        <w:autoSpaceDN/>
        <w:adjustRightInd/>
        <w:snapToGrid w:val="0"/>
        <w:spacing w:line="312" w:lineRule="auto"/>
        <w:ind w:firstLine="465"/>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（三）竞投人未被中国执行信息公开网（</w:t>
      </w:r>
      <w:bookmarkStart w:id="0" w:name="OLE_LINK1"/>
      <w:r>
        <w:rPr>
          <w:rFonts w:hint="eastAsia" w:ascii="宋体" w:hAnsi="宋体" w:eastAsia="宋体" w:cs="宋体"/>
          <w:snapToGrid/>
          <w:color w:val="000000"/>
          <w:kern w:val="0"/>
          <w:sz w:val="24"/>
          <w:szCs w:val="24"/>
          <w:lang w:val="en-US" w:eastAsia="zh-CN"/>
        </w:rPr>
        <w:t>zxgk.court.gov.cn</w:t>
      </w:r>
      <w:bookmarkEnd w:id="0"/>
      <w:r>
        <w:rPr>
          <w:rFonts w:hint="eastAsia" w:ascii="宋体" w:hAnsi="宋体" w:eastAsia="宋体" w:cs="宋体"/>
          <w:snapToGrid/>
          <w:color w:val="000000"/>
          <w:kern w:val="0"/>
          <w:sz w:val="24"/>
          <w:szCs w:val="24"/>
          <w:lang w:val="en-US" w:eastAsia="zh-CN"/>
        </w:rPr>
        <w:t>）列入“失信被执行人”的名单，且未被信用中国网站（https://www.creditchina.gov.cn)列入“重大税收违法失信主体名单”“严重失信主体名单”。（以采购人开标当天在上述网站查询结果为准，如在上述网站查询结果均显示没有相关记录，视为没有上述不良信用记录。同时对信用信息查询记录和证据截图存档。如相关失信记录已失效，竞投人须提供相关证明资料）。</w:t>
      </w:r>
    </w:p>
    <w:p w14:paraId="138C7714">
      <w:pPr>
        <w:widowControl/>
        <w:shd w:val="clear" w:color="auto" w:fill="FFFFFF"/>
        <w:kinsoku/>
        <w:autoSpaceDE/>
        <w:autoSpaceDN/>
        <w:adjustRightInd/>
        <w:snapToGrid w:val="0"/>
        <w:spacing w:line="312" w:lineRule="auto"/>
        <w:ind w:firstLine="465"/>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四）竞投人未出现以下情形：与其它竞投人的单位负责人为同一人或者存在控股、管理关系的（按竞投人提供的《响应函》第7条内容进行评审）。如不同响应申请人出现单位负责人为同一人或者存在控股、管理关系的情形，则相关响应均无效。</w:t>
      </w:r>
    </w:p>
    <w:p w14:paraId="67B0C93B">
      <w:pPr>
        <w:widowControl/>
        <w:shd w:val="clear" w:color="auto" w:fill="FFFFFF"/>
        <w:kinsoku/>
        <w:autoSpaceDE/>
        <w:autoSpaceDN/>
        <w:adjustRightInd/>
        <w:snapToGrid w:val="0"/>
        <w:spacing w:line="312" w:lineRule="auto"/>
        <w:ind w:firstLine="465"/>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（五）本项目不接受联合体响应。</w:t>
      </w:r>
    </w:p>
    <w:p w14:paraId="13C563C0">
      <w:pPr>
        <w:widowControl/>
        <w:spacing w:before="0" w:beforeLines="0" w:beforeAutospacing="0" w:after="0" w:afterLines="0" w:afterAutospacing="0" w:line="500" w:lineRule="exact"/>
        <w:ind w:firstLine="562" w:firstLineChars="200"/>
        <w:jc w:val="both"/>
        <w:rPr>
          <w:rStyle w:val="16"/>
          <w:rFonts w:ascii="Times New Roman" w:hAnsi="Times New Roman" w:eastAsia="黑体" w:cs="Times New Roman"/>
          <w:bCs/>
          <w:kern w:val="0"/>
          <w:sz w:val="28"/>
          <w:szCs w:val="28"/>
          <w:lang w:val="en-US" w:eastAsia="zh-CN" w:bidi="ar-SA"/>
        </w:rPr>
      </w:pPr>
      <w:r>
        <w:rPr>
          <w:rStyle w:val="16"/>
          <w:rFonts w:ascii="Times New Roman" w:hAnsi="Times New Roman" w:eastAsia="黑体" w:cs="Times New Roman"/>
          <w:bCs/>
          <w:kern w:val="2"/>
          <w:sz w:val="28"/>
          <w:szCs w:val="28"/>
          <w:lang w:val="en-US" w:eastAsia="zh-CN" w:bidi="ar-SA"/>
        </w:rPr>
        <w:t>七、公告开始时间</w:t>
      </w:r>
    </w:p>
    <w:p w14:paraId="7371EE09">
      <w:pPr>
        <w:widowControl/>
        <w:spacing w:before="0" w:beforeLines="0" w:beforeAutospacing="0" w:after="0" w:afterLines="0" w:afterAutospacing="0" w:line="500" w:lineRule="exact"/>
        <w:ind w:firstLine="645"/>
        <w:jc w:val="both"/>
        <w:rPr>
          <w:rFonts w:ascii="Times New Roman" w:hAnsi="Times New Roman" w:eastAsia="宋体" w:cs="Times New Roman"/>
          <w:kern w:val="0"/>
          <w:sz w:val="24"/>
          <w:szCs w:val="24"/>
          <w:highlight w:val="none"/>
          <w:lang w:val="en-US" w:eastAsia="zh-CN" w:bidi="ar-SA"/>
        </w:rPr>
      </w:pPr>
      <w:r>
        <w:rPr>
          <w:rFonts w:ascii="Times New Roman" w:hAnsi="Times New Roman" w:eastAsia="宋体" w:cs="Times New Roman"/>
          <w:kern w:val="0"/>
          <w:sz w:val="24"/>
          <w:szCs w:val="24"/>
          <w:highlight w:val="none"/>
          <w:lang w:val="en-US" w:eastAsia="zh-CN" w:bidi="ar-SA"/>
        </w:rPr>
        <w:t>202</w:t>
      </w:r>
      <w:r>
        <w:rPr>
          <w:rFonts w:hint="eastAsia" w:ascii="Times New Roman" w:hAnsi="Times New Roman" w:eastAsia="宋体" w:cs="Times New Roman"/>
          <w:kern w:val="0"/>
          <w:sz w:val="24"/>
          <w:szCs w:val="24"/>
          <w:highlight w:val="none"/>
          <w:lang w:val="en-US" w:eastAsia="zh-CN" w:bidi="ar-SA"/>
        </w:rPr>
        <w:t>6</w:t>
      </w:r>
      <w:r>
        <w:rPr>
          <w:rFonts w:ascii="Times New Roman" w:hAnsi="Times New Roman" w:eastAsia="宋体" w:cs="Times New Roman"/>
          <w:kern w:val="0"/>
          <w:sz w:val="24"/>
          <w:szCs w:val="24"/>
          <w:highlight w:val="none"/>
          <w:lang w:val="en-US" w:eastAsia="zh-CN" w:bidi="ar-SA"/>
        </w:rPr>
        <w:t>年</w:t>
      </w:r>
      <w:r>
        <w:rPr>
          <w:rFonts w:hint="eastAsia" w:ascii="Times New Roman" w:hAnsi="Times New Roman" w:eastAsia="宋体" w:cs="Times New Roman"/>
          <w:kern w:val="0"/>
          <w:sz w:val="24"/>
          <w:szCs w:val="24"/>
          <w:highlight w:val="none"/>
          <w:lang w:val="en-US" w:eastAsia="zh-CN" w:bidi="ar-SA"/>
        </w:rPr>
        <w:t>6</w:t>
      </w:r>
      <w:r>
        <w:rPr>
          <w:rFonts w:ascii="Times New Roman" w:hAnsi="Times New Roman" w:eastAsia="宋体" w:cs="Times New Roman"/>
          <w:kern w:val="0"/>
          <w:sz w:val="24"/>
          <w:szCs w:val="24"/>
          <w:highlight w:val="none"/>
          <w:lang w:val="en-US" w:eastAsia="zh-CN" w:bidi="ar-SA"/>
        </w:rPr>
        <w:t>月</w:t>
      </w:r>
      <w:r>
        <w:rPr>
          <w:rFonts w:hint="eastAsia" w:ascii="Times New Roman" w:hAnsi="Times New Roman" w:eastAsia="宋体" w:cs="Times New Roman"/>
          <w:kern w:val="0"/>
          <w:sz w:val="24"/>
          <w:szCs w:val="24"/>
          <w:highlight w:val="none"/>
          <w:lang w:val="en-US" w:eastAsia="zh-CN" w:bidi="ar-SA"/>
        </w:rPr>
        <w:t>25</w:t>
      </w:r>
      <w:r>
        <w:rPr>
          <w:rFonts w:ascii="Times New Roman" w:hAnsi="Times New Roman" w:eastAsia="宋体" w:cs="Times New Roman"/>
          <w:kern w:val="0"/>
          <w:sz w:val="24"/>
          <w:szCs w:val="24"/>
          <w:highlight w:val="none"/>
          <w:lang w:val="en-US" w:eastAsia="zh-CN" w:bidi="ar-SA"/>
        </w:rPr>
        <w:t>日 </w:t>
      </w:r>
    </w:p>
    <w:p w14:paraId="0BAB5941">
      <w:pPr>
        <w:widowControl/>
        <w:spacing w:before="0" w:beforeLines="0" w:beforeAutospacing="0" w:after="0" w:afterLines="0" w:afterAutospacing="0" w:line="500" w:lineRule="exact"/>
        <w:ind w:firstLine="645"/>
        <w:jc w:val="both"/>
        <w:rPr>
          <w:rStyle w:val="16"/>
          <w:rFonts w:ascii="Times New Roman" w:hAnsi="Times New Roman" w:eastAsia="黑体" w:cs="Times New Roman"/>
          <w:bCs/>
          <w:kern w:val="0"/>
          <w:sz w:val="28"/>
          <w:szCs w:val="28"/>
          <w:highlight w:val="none"/>
          <w:lang w:val="en-US" w:eastAsia="zh-CN" w:bidi="ar-SA"/>
        </w:rPr>
      </w:pPr>
      <w:r>
        <w:rPr>
          <w:rStyle w:val="16"/>
          <w:rFonts w:ascii="Times New Roman" w:hAnsi="Times New Roman" w:eastAsia="黑体" w:cs="Times New Roman"/>
          <w:bCs/>
          <w:kern w:val="2"/>
          <w:sz w:val="28"/>
          <w:szCs w:val="28"/>
          <w:highlight w:val="none"/>
          <w:lang w:val="en-US" w:eastAsia="zh-CN" w:bidi="ar-SA"/>
        </w:rPr>
        <w:t>八、公告结束时间</w:t>
      </w:r>
    </w:p>
    <w:p w14:paraId="0A9226CF">
      <w:pPr>
        <w:widowControl/>
        <w:spacing w:before="0" w:beforeLines="0" w:beforeAutospacing="0" w:after="0" w:afterLines="0" w:afterAutospacing="0" w:line="500" w:lineRule="exact"/>
        <w:ind w:firstLine="645"/>
        <w:jc w:val="both"/>
        <w:rPr>
          <w:rFonts w:ascii="Times New Roman" w:hAnsi="Times New Roman" w:eastAsia="宋体" w:cs="Times New Roman"/>
          <w:kern w:val="0"/>
          <w:sz w:val="24"/>
          <w:szCs w:val="24"/>
          <w:highlight w:val="none"/>
          <w:lang w:val="en-US" w:eastAsia="zh-CN" w:bidi="ar-SA"/>
        </w:rPr>
      </w:pPr>
      <w:r>
        <w:rPr>
          <w:rFonts w:ascii="Times New Roman" w:hAnsi="Times New Roman" w:eastAsia="宋体" w:cs="Times New Roman"/>
          <w:kern w:val="0"/>
          <w:sz w:val="24"/>
          <w:szCs w:val="24"/>
          <w:highlight w:val="none"/>
          <w:lang w:val="en-US" w:eastAsia="zh-CN" w:bidi="ar-SA"/>
        </w:rPr>
        <w:t>202</w:t>
      </w:r>
      <w:r>
        <w:rPr>
          <w:rFonts w:hint="eastAsia" w:ascii="Times New Roman" w:hAnsi="Times New Roman" w:eastAsia="宋体" w:cs="Times New Roman"/>
          <w:kern w:val="0"/>
          <w:sz w:val="24"/>
          <w:szCs w:val="24"/>
          <w:highlight w:val="none"/>
          <w:lang w:val="en-US" w:eastAsia="zh-CN" w:bidi="ar-SA"/>
        </w:rPr>
        <w:t>6</w:t>
      </w:r>
      <w:r>
        <w:rPr>
          <w:rFonts w:ascii="Times New Roman" w:hAnsi="Times New Roman" w:eastAsia="宋体" w:cs="Times New Roman"/>
          <w:kern w:val="0"/>
          <w:sz w:val="24"/>
          <w:szCs w:val="24"/>
          <w:highlight w:val="none"/>
          <w:lang w:val="en-US" w:eastAsia="zh-CN" w:bidi="ar-SA"/>
        </w:rPr>
        <w:t>年</w:t>
      </w:r>
      <w:r>
        <w:rPr>
          <w:rFonts w:hint="eastAsia" w:ascii="Times New Roman" w:hAnsi="Times New Roman" w:eastAsia="宋体" w:cs="Times New Roman"/>
          <w:kern w:val="0"/>
          <w:sz w:val="24"/>
          <w:szCs w:val="24"/>
          <w:highlight w:val="none"/>
          <w:lang w:val="en-US" w:eastAsia="zh-CN" w:bidi="ar-SA"/>
        </w:rPr>
        <w:t>7</w:t>
      </w:r>
      <w:r>
        <w:rPr>
          <w:rFonts w:ascii="Times New Roman" w:hAnsi="Times New Roman" w:eastAsia="宋体" w:cs="Times New Roman"/>
          <w:kern w:val="0"/>
          <w:sz w:val="24"/>
          <w:szCs w:val="24"/>
          <w:highlight w:val="none"/>
          <w:lang w:val="en-US" w:eastAsia="zh-CN" w:bidi="ar-SA"/>
        </w:rPr>
        <w:t>月</w:t>
      </w:r>
      <w:r>
        <w:rPr>
          <w:rFonts w:hint="eastAsia" w:ascii="Times New Roman" w:hAnsi="Times New Roman" w:eastAsia="宋体" w:cs="Times New Roman"/>
          <w:kern w:val="0"/>
          <w:sz w:val="24"/>
          <w:szCs w:val="24"/>
          <w:highlight w:val="none"/>
          <w:lang w:val="en-US" w:eastAsia="zh-CN" w:bidi="ar-SA"/>
        </w:rPr>
        <w:t>2</w:t>
      </w:r>
      <w:r>
        <w:rPr>
          <w:rFonts w:ascii="Times New Roman" w:hAnsi="Times New Roman" w:eastAsia="宋体" w:cs="Times New Roman"/>
          <w:kern w:val="0"/>
          <w:sz w:val="24"/>
          <w:szCs w:val="24"/>
          <w:highlight w:val="none"/>
          <w:lang w:val="en-US" w:eastAsia="zh-CN" w:bidi="ar-SA"/>
        </w:rPr>
        <w:t>日 </w:t>
      </w:r>
    </w:p>
    <w:p w14:paraId="765FF075">
      <w:pPr>
        <w:widowControl/>
        <w:spacing w:before="0" w:beforeLines="0" w:beforeAutospacing="0" w:after="0" w:afterLines="0" w:afterAutospacing="0" w:line="500" w:lineRule="exact"/>
        <w:ind w:firstLine="645"/>
        <w:jc w:val="both"/>
        <w:rPr>
          <w:rStyle w:val="16"/>
          <w:rFonts w:hint="eastAsia" w:ascii="Times New Roman" w:hAnsi="Times New Roman" w:eastAsia="黑体" w:cs="Times New Roman"/>
          <w:bCs/>
          <w:kern w:val="2"/>
          <w:sz w:val="28"/>
          <w:szCs w:val="28"/>
          <w:highlight w:val="none"/>
          <w:lang w:val="en-US" w:eastAsia="zh-CN" w:bidi="ar-SA"/>
        </w:rPr>
      </w:pPr>
      <w:r>
        <w:rPr>
          <w:rStyle w:val="16"/>
          <w:rFonts w:hint="eastAsia" w:ascii="Times New Roman" w:hAnsi="Times New Roman" w:eastAsia="黑体" w:cs="Times New Roman"/>
          <w:bCs/>
          <w:kern w:val="2"/>
          <w:sz w:val="28"/>
          <w:szCs w:val="28"/>
          <w:highlight w:val="none"/>
          <w:lang w:val="en-US" w:eastAsia="zh-CN" w:bidi="ar-SA"/>
        </w:rPr>
        <w:t>九、响应文件递交截止时间</w:t>
      </w:r>
    </w:p>
    <w:p w14:paraId="66918957">
      <w:pPr>
        <w:widowControl/>
        <w:spacing w:before="0" w:beforeLines="0" w:beforeAutospacing="0" w:after="0" w:afterLines="0" w:afterAutospacing="0" w:line="500" w:lineRule="exact"/>
        <w:ind w:firstLine="645"/>
        <w:jc w:val="both"/>
        <w:rPr>
          <w:rStyle w:val="16"/>
          <w:rFonts w:hint="default" w:ascii="Times New Roman" w:hAnsi="Times New Roman" w:eastAsia="黑体" w:cs="Times New Roman"/>
          <w:bCs/>
          <w:kern w:val="2"/>
          <w:sz w:val="28"/>
          <w:szCs w:val="28"/>
          <w:highlight w:val="none"/>
          <w:lang w:val="en-US" w:eastAsia="zh-CN" w:bidi="ar-SA"/>
        </w:rPr>
      </w:pPr>
      <w:r>
        <w:rPr>
          <w:rFonts w:ascii="Times New Roman" w:hAnsi="Times New Roman" w:eastAsia="宋体" w:cs="Times New Roman"/>
          <w:kern w:val="0"/>
          <w:sz w:val="24"/>
          <w:szCs w:val="24"/>
          <w:highlight w:val="none"/>
          <w:lang w:val="en-US" w:eastAsia="zh-CN" w:bidi="ar-SA"/>
        </w:rPr>
        <w:t>202</w:t>
      </w:r>
      <w:r>
        <w:rPr>
          <w:rFonts w:hint="eastAsia" w:ascii="Times New Roman" w:hAnsi="Times New Roman" w:eastAsia="宋体" w:cs="Times New Roman"/>
          <w:kern w:val="0"/>
          <w:sz w:val="24"/>
          <w:szCs w:val="24"/>
          <w:highlight w:val="none"/>
          <w:lang w:val="en-US" w:eastAsia="zh-CN" w:bidi="ar-SA"/>
        </w:rPr>
        <w:t>6</w:t>
      </w:r>
      <w:r>
        <w:rPr>
          <w:rFonts w:ascii="Times New Roman" w:hAnsi="Times New Roman" w:eastAsia="宋体" w:cs="Times New Roman"/>
          <w:kern w:val="0"/>
          <w:sz w:val="24"/>
          <w:szCs w:val="24"/>
          <w:highlight w:val="none"/>
          <w:lang w:val="en-US" w:eastAsia="zh-CN" w:bidi="ar-SA"/>
        </w:rPr>
        <w:t>年</w:t>
      </w:r>
      <w:r>
        <w:rPr>
          <w:rFonts w:hint="eastAsia" w:ascii="Times New Roman" w:hAnsi="Times New Roman" w:eastAsia="宋体" w:cs="Times New Roman"/>
          <w:kern w:val="0"/>
          <w:sz w:val="24"/>
          <w:szCs w:val="24"/>
          <w:highlight w:val="none"/>
          <w:lang w:val="en-US" w:eastAsia="zh-CN" w:bidi="ar-SA"/>
        </w:rPr>
        <w:t>7</w:t>
      </w:r>
      <w:r>
        <w:rPr>
          <w:rFonts w:ascii="Times New Roman" w:hAnsi="Times New Roman" w:eastAsia="宋体" w:cs="Times New Roman"/>
          <w:kern w:val="0"/>
          <w:sz w:val="24"/>
          <w:szCs w:val="24"/>
          <w:highlight w:val="none"/>
          <w:lang w:val="en-US" w:eastAsia="zh-CN" w:bidi="ar-SA"/>
        </w:rPr>
        <w:t>月</w:t>
      </w:r>
      <w:r>
        <w:rPr>
          <w:rFonts w:hint="eastAsia" w:ascii="Times New Roman" w:hAnsi="Times New Roman" w:eastAsia="宋体" w:cs="Times New Roman"/>
          <w:kern w:val="0"/>
          <w:sz w:val="24"/>
          <w:szCs w:val="24"/>
          <w:highlight w:val="none"/>
          <w:lang w:val="en-US" w:eastAsia="zh-CN" w:bidi="ar-SA"/>
        </w:rPr>
        <w:t>3</w:t>
      </w:r>
      <w:r>
        <w:rPr>
          <w:rFonts w:ascii="Times New Roman" w:hAnsi="Times New Roman" w:eastAsia="宋体" w:cs="Times New Roman"/>
          <w:kern w:val="0"/>
          <w:sz w:val="24"/>
          <w:szCs w:val="24"/>
          <w:highlight w:val="none"/>
          <w:lang w:val="en-US" w:eastAsia="zh-CN" w:bidi="ar-SA"/>
        </w:rPr>
        <w:t>日 </w:t>
      </w:r>
      <w:r>
        <w:rPr>
          <w:rFonts w:hint="eastAsia" w:ascii="Times New Roman" w:hAnsi="Times New Roman" w:eastAsia="宋体" w:cs="Times New Roman"/>
          <w:kern w:val="0"/>
          <w:sz w:val="24"/>
          <w:szCs w:val="24"/>
          <w:highlight w:val="none"/>
          <w:lang w:val="en-US" w:eastAsia="zh-CN" w:bidi="ar-SA"/>
        </w:rPr>
        <w:t>10:</w:t>
      </w:r>
      <w:r>
        <w:rPr>
          <w:rFonts w:hint="eastAsia" w:ascii="Times New Roman" w:hAnsi="Times New Roman" w:eastAsia="宋体" w:cs="Times New Roman"/>
          <w:kern w:val="0"/>
          <w:sz w:val="24"/>
          <w:szCs w:val="24"/>
          <w:highlight w:val="none"/>
          <w:lang w:val="en-US" w:eastAsia="zh-CN" w:bidi="ar-SA"/>
        </w:rPr>
        <w:t>00</w:t>
      </w:r>
    </w:p>
    <w:p w14:paraId="26384C79">
      <w:pPr>
        <w:widowControl/>
        <w:spacing w:before="0" w:beforeLines="0" w:beforeAutospacing="0" w:after="0" w:afterLines="0" w:afterAutospacing="0" w:line="500" w:lineRule="exact"/>
        <w:ind w:firstLine="645"/>
        <w:jc w:val="both"/>
        <w:rPr>
          <w:rStyle w:val="16"/>
          <w:rFonts w:hint="eastAsia" w:ascii="Times New Roman" w:hAnsi="Times New Roman" w:eastAsia="黑体" w:cs="Times New Roman"/>
          <w:bCs/>
          <w:kern w:val="2"/>
          <w:sz w:val="28"/>
          <w:szCs w:val="28"/>
          <w:lang w:val="en-US" w:eastAsia="zh-CN" w:bidi="ar-SA"/>
        </w:rPr>
      </w:pPr>
      <w:r>
        <w:rPr>
          <w:rStyle w:val="16"/>
          <w:rFonts w:hint="eastAsia" w:ascii="Times New Roman" w:hAnsi="Times New Roman" w:eastAsia="黑体" w:cs="Times New Roman"/>
          <w:bCs/>
          <w:kern w:val="2"/>
          <w:sz w:val="28"/>
          <w:szCs w:val="28"/>
          <w:lang w:val="en-US" w:eastAsia="zh-CN" w:bidi="ar-SA"/>
        </w:rPr>
        <w:t>十、响应文件递交地址</w:t>
      </w:r>
    </w:p>
    <w:p w14:paraId="396B0182">
      <w:pPr>
        <w:spacing w:line="312" w:lineRule="auto"/>
        <w:ind w:firstLine="720" w:firstLineChars="300"/>
        <w:rPr>
          <w:rFonts w:hint="default"/>
          <w:lang w:val="en-US" w:eastAsia="zh-CN"/>
        </w:rPr>
      </w:pPr>
      <w:r>
        <w:rPr>
          <w:rFonts w:hint="eastAsia" w:ascii="宋体" w:hAnsi="宋体" w:cs="宋体"/>
          <w:sz w:val="24"/>
          <w:lang w:eastAsia="zh-CN"/>
        </w:rPr>
        <w:t>广州市天河区临江大道海心沙亚运公园西区</w:t>
      </w:r>
      <w:r>
        <w:rPr>
          <w:rFonts w:hint="eastAsia" w:ascii="宋体" w:hAnsi="宋体" w:cs="宋体"/>
          <w:sz w:val="24"/>
          <w:lang w:val="en-US" w:eastAsia="zh-CN"/>
        </w:rPr>
        <w:t>看台1</w:t>
      </w:r>
      <w:r>
        <w:rPr>
          <w:rFonts w:hint="eastAsia" w:ascii="宋体" w:hAnsi="宋体" w:cs="宋体"/>
          <w:sz w:val="24"/>
          <w:lang w:eastAsia="zh-CN"/>
        </w:rPr>
        <w:t>楼会议室</w:t>
      </w:r>
    </w:p>
    <w:p w14:paraId="390248D6">
      <w:pPr>
        <w:widowControl/>
        <w:spacing w:before="0" w:beforeLines="0" w:beforeAutospacing="0" w:after="0" w:afterLines="0" w:afterAutospacing="0" w:line="500" w:lineRule="exact"/>
        <w:ind w:firstLine="645"/>
        <w:jc w:val="both"/>
        <w:rPr>
          <w:rStyle w:val="16"/>
          <w:rFonts w:hint="eastAsia" w:ascii="Times New Roman" w:hAnsi="Times New Roman" w:eastAsia="黑体" w:cs="Times New Roman"/>
          <w:bCs/>
          <w:kern w:val="2"/>
          <w:sz w:val="28"/>
          <w:szCs w:val="28"/>
          <w:lang w:val="en-US" w:eastAsia="zh-CN" w:bidi="ar-SA"/>
        </w:rPr>
      </w:pPr>
      <w:bookmarkStart w:id="1" w:name="_Toc461112745"/>
      <w:bookmarkStart w:id="2" w:name="_Toc9273"/>
      <w:bookmarkStart w:id="3" w:name="_Toc7564"/>
      <w:bookmarkStart w:id="4" w:name="_Toc16235"/>
    </w:p>
    <w:p w14:paraId="7DA7ABE7">
      <w:pPr>
        <w:widowControl/>
        <w:spacing w:before="0" w:beforeLines="0" w:beforeAutospacing="0" w:after="0" w:afterLines="0" w:afterAutospacing="0" w:line="500" w:lineRule="exact"/>
        <w:ind w:firstLine="645"/>
        <w:jc w:val="both"/>
        <w:rPr>
          <w:rStyle w:val="16"/>
          <w:rFonts w:hint="eastAsia" w:ascii="Times New Roman" w:hAnsi="Times New Roman" w:eastAsia="黑体" w:cs="Times New Roman"/>
          <w:bCs/>
          <w:kern w:val="2"/>
          <w:sz w:val="28"/>
          <w:szCs w:val="28"/>
          <w:lang w:val="en-US" w:eastAsia="zh-CN" w:bidi="ar-SA"/>
        </w:rPr>
      </w:pPr>
    </w:p>
    <w:p w14:paraId="536EB5E9">
      <w:pPr>
        <w:widowControl/>
        <w:spacing w:before="0" w:beforeLines="0" w:beforeAutospacing="0" w:after="0" w:afterLines="0" w:afterAutospacing="0" w:line="500" w:lineRule="exact"/>
        <w:ind w:firstLine="645"/>
        <w:jc w:val="both"/>
        <w:rPr>
          <w:rStyle w:val="16"/>
          <w:rFonts w:hint="eastAsia" w:ascii="Times New Roman" w:hAnsi="Times New Roman" w:eastAsia="黑体" w:cs="Times New Roman"/>
          <w:bCs/>
          <w:kern w:val="2"/>
          <w:sz w:val="28"/>
          <w:szCs w:val="28"/>
          <w:lang w:val="en-US" w:eastAsia="zh-CN" w:bidi="ar-SA"/>
        </w:rPr>
      </w:pPr>
      <w:r>
        <w:rPr>
          <w:rStyle w:val="16"/>
          <w:rFonts w:hint="eastAsia" w:ascii="Times New Roman" w:hAnsi="Times New Roman" w:eastAsia="黑体" w:cs="Times New Roman"/>
          <w:bCs/>
          <w:kern w:val="2"/>
          <w:sz w:val="28"/>
          <w:szCs w:val="28"/>
          <w:lang w:val="en-US" w:eastAsia="zh-CN" w:bidi="ar-SA"/>
        </w:rPr>
        <w:t>十一、其他</w:t>
      </w:r>
    </w:p>
    <w:p w14:paraId="25619A4C">
      <w:pPr>
        <w:widowControl/>
        <w:spacing w:before="0" w:beforeLines="0" w:beforeAutospacing="0" w:after="0" w:afterLines="0" w:afterAutospacing="0" w:line="500" w:lineRule="exact"/>
        <w:ind w:firstLine="645"/>
        <w:jc w:val="both"/>
        <w:rPr>
          <w:rStyle w:val="16"/>
          <w:rFonts w:hint="eastAsia" w:ascii="Times New Roman" w:hAnsi="Times New Roman" w:eastAsia="黑体" w:cs="Times New Roman"/>
          <w:bCs/>
          <w:kern w:val="2"/>
          <w:sz w:val="28"/>
          <w:szCs w:val="28"/>
          <w:lang w:val="en-US" w:eastAsia="zh-CN" w:bidi="ar-SA"/>
        </w:rPr>
      </w:pPr>
      <w:r>
        <w:rPr>
          <w:rFonts w:hint="eastAsia" w:ascii="宋体" w:hAnsi="宋体" w:eastAsia="宋体" w:cs="宋体"/>
          <w:bCs w:val="0"/>
          <w:snapToGrid/>
          <w:kern w:val="0"/>
          <w:sz w:val="24"/>
          <w:szCs w:val="24"/>
          <w:lang w:val="en-US" w:eastAsia="zh-CN" w:bidi="ar-SA"/>
        </w:rPr>
        <w:t>（一）采购文件获取方式</w:t>
      </w:r>
    </w:p>
    <w:p w14:paraId="70C0C504">
      <w:pPr>
        <w:widowControl/>
        <w:tabs>
          <w:tab w:val="left" w:pos="960"/>
        </w:tabs>
        <w:kinsoku/>
        <w:autoSpaceDE/>
        <w:autoSpaceDN/>
        <w:adjustRightInd/>
        <w:snapToGrid/>
        <w:spacing w:line="312" w:lineRule="auto"/>
        <w:ind w:left="210" w:leftChars="100" w:firstLine="240" w:firstLineChars="100"/>
        <w:jc w:val="left"/>
        <w:textAlignment w:val="auto"/>
        <w:rPr>
          <w:rFonts w:hint="eastAsia" w:ascii="宋体" w:hAnsi="宋体" w:eastAsia="宋体" w:cs="宋体"/>
          <w:snapToGrid/>
          <w:kern w:val="2"/>
          <w:sz w:val="24"/>
          <w:szCs w:val="24"/>
          <w:highlight w:val="yellow"/>
          <w:lang w:eastAsia="zh-CN"/>
        </w:rPr>
      </w:pPr>
      <w:r>
        <w:rPr>
          <w:rFonts w:hint="eastAsia" w:ascii="宋体" w:hAnsi="宋体" w:eastAsia="宋体" w:cs="宋体"/>
          <w:snapToGrid/>
          <w:kern w:val="2"/>
          <w:sz w:val="24"/>
          <w:szCs w:val="24"/>
          <w:lang w:val="en-US" w:eastAsia="zh-CN"/>
        </w:rPr>
        <w:t>1.</w:t>
      </w:r>
      <w:r>
        <w:rPr>
          <w:rFonts w:hint="eastAsia" w:ascii="宋体" w:hAnsi="宋体" w:eastAsia="宋体" w:cs="宋体"/>
          <w:snapToGrid/>
          <w:kern w:val="2"/>
          <w:sz w:val="24"/>
          <w:szCs w:val="24"/>
          <w:lang w:eastAsia="zh-CN"/>
        </w:rPr>
        <w:t>采购文件领取时间：2026年</w:t>
      </w:r>
      <w:r>
        <w:rPr>
          <w:rFonts w:hint="eastAsia" w:ascii="宋体" w:hAnsi="宋体" w:eastAsia="宋体" w:cs="宋体"/>
          <w:snapToGrid/>
          <w:kern w:val="2"/>
          <w:sz w:val="24"/>
          <w:szCs w:val="24"/>
          <w:lang w:val="en-US" w:eastAsia="zh-CN"/>
        </w:rPr>
        <w:t>6</w:t>
      </w:r>
      <w:r>
        <w:rPr>
          <w:rFonts w:hint="eastAsia" w:ascii="宋体" w:hAnsi="宋体" w:eastAsia="宋体" w:cs="宋体"/>
          <w:snapToGrid/>
          <w:kern w:val="2"/>
          <w:sz w:val="24"/>
          <w:szCs w:val="24"/>
          <w:lang w:eastAsia="zh-CN"/>
        </w:rPr>
        <w:t>月</w:t>
      </w:r>
      <w:r>
        <w:rPr>
          <w:rFonts w:hint="eastAsia" w:ascii="宋体" w:hAnsi="宋体" w:eastAsia="宋体" w:cs="宋体"/>
          <w:snapToGrid/>
          <w:kern w:val="2"/>
          <w:sz w:val="24"/>
          <w:szCs w:val="24"/>
          <w:lang w:val="en-US" w:eastAsia="zh-CN"/>
        </w:rPr>
        <w:t>25</w:t>
      </w:r>
      <w:r>
        <w:rPr>
          <w:rFonts w:hint="eastAsia" w:ascii="宋体" w:hAnsi="宋体" w:eastAsia="宋体" w:cs="宋体"/>
          <w:snapToGrid/>
          <w:kern w:val="2"/>
          <w:sz w:val="24"/>
          <w:szCs w:val="24"/>
          <w:lang w:eastAsia="zh-CN"/>
        </w:rPr>
        <w:t xml:space="preserve">日- </w:t>
      </w:r>
      <w:r>
        <w:rPr>
          <w:rFonts w:hint="eastAsia" w:ascii="宋体" w:hAnsi="宋体" w:eastAsia="宋体" w:cs="宋体"/>
          <w:snapToGrid/>
          <w:kern w:val="2"/>
          <w:sz w:val="24"/>
          <w:szCs w:val="24"/>
          <w:lang w:val="en-US" w:eastAsia="zh-CN"/>
        </w:rPr>
        <w:t>7</w:t>
      </w:r>
      <w:r>
        <w:rPr>
          <w:rFonts w:hint="eastAsia" w:ascii="宋体" w:hAnsi="宋体" w:eastAsia="宋体" w:cs="宋体"/>
          <w:snapToGrid/>
          <w:kern w:val="2"/>
          <w:sz w:val="24"/>
          <w:szCs w:val="24"/>
          <w:lang w:eastAsia="zh-CN"/>
        </w:rPr>
        <w:t>月</w:t>
      </w:r>
      <w:r>
        <w:rPr>
          <w:rFonts w:hint="eastAsia" w:ascii="宋体" w:hAnsi="宋体" w:eastAsia="宋体" w:cs="宋体"/>
          <w:snapToGrid/>
          <w:kern w:val="2"/>
          <w:sz w:val="24"/>
          <w:szCs w:val="24"/>
          <w:lang w:val="en-US" w:eastAsia="zh-CN"/>
        </w:rPr>
        <w:t>2</w:t>
      </w:r>
      <w:r>
        <w:rPr>
          <w:rFonts w:hint="eastAsia" w:ascii="宋体" w:hAnsi="宋体" w:eastAsia="宋体" w:cs="宋体"/>
          <w:snapToGrid/>
          <w:kern w:val="2"/>
          <w:sz w:val="24"/>
          <w:szCs w:val="24"/>
          <w:lang w:eastAsia="zh-CN"/>
        </w:rPr>
        <w:t>日（9:00～12:00，14:00～17:00）</w:t>
      </w:r>
    </w:p>
    <w:p w14:paraId="6EE689AF">
      <w:pPr>
        <w:widowControl/>
        <w:tabs>
          <w:tab w:val="left" w:pos="960"/>
        </w:tabs>
        <w:kinsoku/>
        <w:autoSpaceDE/>
        <w:autoSpaceDN/>
        <w:adjustRightInd/>
        <w:snapToGrid/>
        <w:spacing w:line="312"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2.领取文件需提交资料</w:t>
      </w:r>
      <w:r>
        <w:rPr>
          <w:rFonts w:hint="eastAsia" w:ascii="宋体" w:hAnsi="宋体" w:eastAsia="宋体" w:cs="宋体"/>
          <w:snapToGrid/>
          <w:kern w:val="2"/>
          <w:sz w:val="24"/>
          <w:szCs w:val="24"/>
          <w:lang w:eastAsia="zh-CN"/>
        </w:rPr>
        <w:t>（加盖公章的扫描件）：</w:t>
      </w:r>
    </w:p>
    <w:p w14:paraId="3817CA02">
      <w:pPr>
        <w:widowControl/>
        <w:tabs>
          <w:tab w:val="left" w:pos="960"/>
        </w:tabs>
        <w:kinsoku/>
        <w:autoSpaceDE/>
        <w:autoSpaceDN/>
        <w:adjustRightInd/>
        <w:snapToGrid/>
        <w:spacing w:line="312"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竞投人须提供有效的营业执照（或事业单位法人证书、</w:t>
      </w:r>
      <w:r>
        <w:rPr>
          <w:rFonts w:hint="eastAsia" w:ascii="宋体" w:hAnsi="宋体" w:eastAsia="宋体" w:cs="宋体"/>
          <w:i w:val="0"/>
          <w:caps w:val="0"/>
          <w:snapToGrid/>
          <w:color w:val="000000"/>
          <w:spacing w:val="0"/>
          <w:sz w:val="24"/>
          <w:szCs w:val="24"/>
          <w:shd w:val="clear"/>
          <w:lang w:eastAsia="zh-CN"/>
        </w:rPr>
        <w:t>执业许可证</w:t>
      </w:r>
      <w:r>
        <w:rPr>
          <w:rFonts w:hint="eastAsia" w:ascii="宋体" w:hAnsi="宋体" w:eastAsia="宋体" w:cs="宋体"/>
          <w:snapToGrid/>
          <w:kern w:val="2"/>
          <w:sz w:val="24"/>
          <w:szCs w:val="24"/>
          <w:lang w:eastAsia="zh-CN"/>
        </w:rPr>
        <w:t>等证明材料）复印件。</w:t>
      </w:r>
    </w:p>
    <w:p w14:paraId="037CB995">
      <w:pPr>
        <w:widowControl/>
        <w:tabs>
          <w:tab w:val="left" w:pos="960"/>
        </w:tabs>
        <w:spacing w:line="312" w:lineRule="auto"/>
        <w:ind w:firstLine="480" w:firstLineChars="200"/>
        <w:jc w:val="left"/>
        <w:rPr>
          <w:rFonts w:hint="eastAsia" w:ascii="宋体" w:hAnsi="宋体" w:eastAsia="宋体" w:cs="宋体"/>
          <w:sz w:val="24"/>
          <w:lang w:eastAsia="zh-CN"/>
        </w:rPr>
      </w:pPr>
      <w:r>
        <w:rPr>
          <w:rFonts w:hint="eastAsia" w:ascii="宋体" w:hAnsi="宋体" w:cs="宋体"/>
          <w:sz w:val="24"/>
        </w:rPr>
        <w:t>如参与登记的申请人不</w:t>
      </w:r>
      <w:r>
        <w:rPr>
          <w:rFonts w:hint="eastAsia" w:ascii="宋体" w:hAnsi="宋体" w:eastAsia="宋体" w:cs="宋体"/>
          <w:sz w:val="24"/>
          <w:lang w:val="en-US" w:eastAsia="zh-CN"/>
        </w:rPr>
        <w:t>大</w:t>
      </w:r>
      <w:r>
        <w:rPr>
          <w:rFonts w:hint="eastAsia" w:ascii="宋体" w:hAnsi="宋体" w:cs="宋体"/>
          <w:sz w:val="24"/>
        </w:rPr>
        <w:t>于三家时，采购人可以发布补充公告，适当延长登记时间</w:t>
      </w:r>
      <w:r>
        <w:rPr>
          <w:rFonts w:hint="eastAsia" w:ascii="宋体" w:hAnsi="宋体" w:eastAsia="宋体" w:cs="宋体"/>
          <w:sz w:val="24"/>
          <w:lang w:eastAsia="zh-CN"/>
        </w:rPr>
        <w:t>。</w:t>
      </w:r>
    </w:p>
    <w:p w14:paraId="78DC2B87">
      <w:pPr>
        <w:widowControl/>
        <w:tabs>
          <w:tab w:val="left" w:pos="960"/>
        </w:tabs>
        <w:spacing w:line="312" w:lineRule="auto"/>
        <w:ind w:firstLine="480" w:firstLineChars="200"/>
        <w:jc w:val="left"/>
        <w:rPr>
          <w:rFonts w:ascii="宋体" w:hAnsi="宋体" w:cs="宋体"/>
          <w:sz w:val="24"/>
        </w:rPr>
      </w:pPr>
      <w:r>
        <w:rPr>
          <w:rFonts w:hint="eastAsia" w:ascii="宋体" w:hAnsi="宋体" w:eastAsia="宋体" w:cs="宋体"/>
          <w:sz w:val="24"/>
          <w:lang w:val="en-US" w:eastAsia="zh-CN"/>
        </w:rPr>
        <w:t>3.</w:t>
      </w:r>
      <w:r>
        <w:rPr>
          <w:rFonts w:hint="eastAsia" w:ascii="宋体" w:hAnsi="宋体" w:eastAsia="宋体" w:cs="宋体"/>
          <w:sz w:val="24"/>
          <w:lang w:eastAsia="zh-CN"/>
        </w:rPr>
        <w:t>竞投人</w:t>
      </w:r>
      <w:r>
        <w:rPr>
          <w:rFonts w:hint="eastAsia" w:ascii="宋体" w:hAnsi="宋体" w:cs="宋体"/>
          <w:sz w:val="24"/>
        </w:rPr>
        <w:t>将上述资料以邮件的形式发送至采购人邮箱地址：</w:t>
      </w:r>
      <w:r>
        <w:rPr>
          <w:rFonts w:hint="eastAsia" w:ascii="宋体" w:hAnsi="宋体" w:eastAsia="宋体" w:cs="宋体"/>
          <w:sz w:val="24"/>
          <w:lang w:val="en-US" w:eastAsia="zh-CN"/>
        </w:rPr>
        <w:t>3120659779@qq.com，</w:t>
      </w:r>
      <w:r>
        <w:rPr>
          <w:rFonts w:hint="eastAsia" w:ascii="宋体" w:hAnsi="宋体" w:cs="宋体"/>
          <w:sz w:val="24"/>
        </w:rPr>
        <w:t>采购人收到资料后，将采购文件回传至</w:t>
      </w:r>
      <w:r>
        <w:rPr>
          <w:rFonts w:hint="eastAsia" w:ascii="宋体" w:hAnsi="宋体" w:eastAsia="宋体" w:cs="宋体"/>
          <w:sz w:val="24"/>
          <w:lang w:eastAsia="zh-CN"/>
        </w:rPr>
        <w:t>竞投人</w:t>
      </w:r>
      <w:r>
        <w:rPr>
          <w:rFonts w:hint="eastAsia" w:ascii="宋体" w:hAnsi="宋体" w:cs="宋体"/>
          <w:sz w:val="24"/>
        </w:rPr>
        <w:t>资料发送邮箱。</w:t>
      </w:r>
    </w:p>
    <w:p w14:paraId="36131B51">
      <w:pPr>
        <w:widowControl/>
        <w:tabs>
          <w:tab w:val="left" w:pos="960"/>
        </w:tabs>
        <w:spacing w:line="312"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4.</w:t>
      </w:r>
      <w:r>
        <w:rPr>
          <w:rFonts w:hint="eastAsia" w:ascii="宋体" w:hAnsi="宋体" w:cs="宋体"/>
          <w:sz w:val="24"/>
        </w:rPr>
        <w:t>逾期送达的资料恕不接受，未递交领取资料的单位递交的响应文件不予接收</w:t>
      </w:r>
      <w:r>
        <w:rPr>
          <w:rFonts w:hint="eastAsia" w:ascii="宋体" w:hAnsi="宋体" w:eastAsia="宋体" w:cs="宋体"/>
          <w:sz w:val="24"/>
          <w:lang w:eastAsia="zh-CN"/>
        </w:rPr>
        <w:t>。</w:t>
      </w:r>
    </w:p>
    <w:p w14:paraId="01EDB263">
      <w:pPr>
        <w:widowControl/>
        <w:spacing w:before="0" w:beforeLines="0" w:beforeAutospacing="0" w:after="0" w:afterLines="0" w:afterAutospacing="0" w:line="500" w:lineRule="exact"/>
        <w:ind w:firstLine="645"/>
        <w:jc w:val="both"/>
        <w:rPr>
          <w:rStyle w:val="16"/>
          <w:rFonts w:hint="eastAsia" w:asciiTheme="minorEastAsia" w:hAnsiTheme="minorEastAsia" w:eastAsiaTheme="minorEastAsia" w:cstheme="minorEastAsia"/>
          <w:bCs/>
          <w:kern w:val="2"/>
          <w:sz w:val="28"/>
          <w:szCs w:val="28"/>
          <w:lang w:val="en-US" w:eastAsia="zh-CN" w:bidi="ar-SA"/>
        </w:rPr>
      </w:pPr>
      <w:r>
        <w:rPr>
          <w:rFonts w:hint="eastAsia" w:ascii="宋体" w:hAnsi="宋体" w:eastAsia="宋体" w:cs="宋体"/>
          <w:bCs w:val="0"/>
          <w:snapToGrid/>
          <w:kern w:val="0"/>
          <w:sz w:val="24"/>
          <w:szCs w:val="24"/>
          <w:lang w:val="en-US" w:eastAsia="zh-CN" w:bidi="ar-SA"/>
        </w:rPr>
        <w:t>（二）开标时间及地点</w:t>
      </w:r>
    </w:p>
    <w:p w14:paraId="7B01B79F">
      <w:pPr>
        <w:widowControl/>
        <w:tabs>
          <w:tab w:val="left" w:pos="960"/>
        </w:tabs>
        <w:spacing w:line="312" w:lineRule="auto"/>
        <w:ind w:firstLine="720" w:firstLineChars="300"/>
        <w:jc w:val="left"/>
        <w:rPr>
          <w:rFonts w:hint="eastAsia" w:ascii="宋体" w:hAnsi="宋体" w:cs="宋体"/>
          <w:sz w:val="24"/>
        </w:rPr>
      </w:pPr>
      <w:r>
        <w:rPr>
          <w:rFonts w:hint="eastAsia" w:ascii="宋体" w:hAnsi="宋体" w:cs="宋体"/>
          <w:sz w:val="24"/>
        </w:rPr>
        <w:t>1.</w:t>
      </w:r>
      <w:r>
        <w:rPr>
          <w:rFonts w:hint="eastAsia" w:ascii="宋体" w:hAnsi="宋体" w:cs="宋体"/>
          <w:b/>
          <w:bCs/>
          <w:sz w:val="24"/>
        </w:rPr>
        <w:t xml:space="preserve"> </w:t>
      </w:r>
      <w:r>
        <w:rPr>
          <w:rFonts w:hint="eastAsia" w:ascii="宋体" w:hAnsi="宋体" w:cs="宋体"/>
          <w:sz w:val="24"/>
        </w:rPr>
        <w:t>响应文件递交时间：</w:t>
      </w:r>
      <w:r>
        <w:rPr>
          <w:rFonts w:hint="eastAsia" w:ascii="宋体" w:hAnsi="宋体" w:cs="宋体"/>
          <w:sz w:val="24"/>
          <w:lang w:val="en-US" w:eastAsia="zh-CN"/>
        </w:rPr>
        <w:t>2026</w:t>
      </w:r>
      <w:r>
        <w:rPr>
          <w:rFonts w:hint="eastAsia" w:ascii="宋体" w:hAnsi="宋体" w:cs="宋体"/>
          <w:sz w:val="24"/>
        </w:rPr>
        <w:t>年0</w:t>
      </w:r>
      <w:r>
        <w:rPr>
          <w:rFonts w:hint="eastAsia" w:ascii="宋体" w:hAnsi="宋体" w:eastAsia="宋体" w:cs="宋体"/>
          <w:sz w:val="24"/>
          <w:lang w:val="en-US" w:eastAsia="zh-CN"/>
        </w:rPr>
        <w:t>7</w:t>
      </w:r>
      <w:r>
        <w:rPr>
          <w:rFonts w:hint="eastAsia" w:ascii="宋体" w:hAnsi="宋体" w:cs="宋体"/>
          <w:sz w:val="24"/>
        </w:rPr>
        <w:t>月</w:t>
      </w:r>
      <w:r>
        <w:rPr>
          <w:rFonts w:hint="eastAsia" w:ascii="宋体" w:hAnsi="宋体" w:eastAsia="宋体" w:cs="宋体"/>
          <w:sz w:val="24"/>
          <w:lang w:val="en-US" w:eastAsia="zh-CN"/>
        </w:rPr>
        <w:t>03</w:t>
      </w:r>
      <w:r>
        <w:rPr>
          <w:rFonts w:hint="eastAsia" w:ascii="宋体" w:hAnsi="宋体" w:cs="宋体"/>
          <w:sz w:val="24"/>
        </w:rPr>
        <w:t>日9:</w:t>
      </w:r>
      <w:r>
        <w:rPr>
          <w:rFonts w:hint="eastAsia" w:ascii="宋体" w:hAnsi="宋体" w:eastAsia="宋体" w:cs="宋体"/>
          <w:sz w:val="24"/>
          <w:lang w:val="en-US" w:eastAsia="zh-CN"/>
        </w:rPr>
        <w:t>00</w:t>
      </w:r>
      <w:r>
        <w:rPr>
          <w:rFonts w:hint="eastAsia" w:ascii="宋体" w:hAnsi="宋体" w:cs="宋体"/>
          <w:sz w:val="24"/>
        </w:rPr>
        <w:t>—10:</w:t>
      </w:r>
      <w:r>
        <w:rPr>
          <w:rFonts w:hint="eastAsia" w:ascii="宋体" w:hAnsi="宋体" w:eastAsia="宋体" w:cs="宋体"/>
          <w:sz w:val="24"/>
          <w:lang w:val="en-US" w:eastAsia="zh-CN"/>
        </w:rPr>
        <w:t>00</w:t>
      </w:r>
      <w:r>
        <w:rPr>
          <w:rFonts w:hint="eastAsia" w:ascii="宋体" w:hAnsi="宋体" w:cs="宋体"/>
          <w:sz w:val="24"/>
        </w:rPr>
        <w:t>。</w:t>
      </w:r>
    </w:p>
    <w:p w14:paraId="3CF56028">
      <w:pPr>
        <w:widowControl/>
        <w:spacing w:line="312" w:lineRule="auto"/>
        <w:ind w:firstLine="720" w:firstLineChars="300"/>
        <w:rPr>
          <w:rFonts w:hint="eastAsia" w:ascii="宋体" w:hAnsi="宋体" w:cs="宋体"/>
          <w:sz w:val="24"/>
        </w:rPr>
      </w:pPr>
      <w:r>
        <w:rPr>
          <w:rFonts w:hint="eastAsia" w:ascii="宋体" w:hAnsi="宋体" w:cs="宋体"/>
          <w:sz w:val="24"/>
        </w:rPr>
        <w:t>2.响应文件递交截止时间：</w:t>
      </w:r>
      <w:r>
        <w:rPr>
          <w:rFonts w:hint="eastAsia" w:ascii="宋体" w:hAnsi="宋体" w:cs="宋体"/>
          <w:sz w:val="24"/>
          <w:lang w:val="en-US" w:eastAsia="zh-CN"/>
        </w:rPr>
        <w:t>2026</w:t>
      </w:r>
      <w:r>
        <w:rPr>
          <w:rFonts w:hint="eastAsia" w:ascii="宋体" w:hAnsi="宋体" w:cs="宋体"/>
          <w:sz w:val="24"/>
        </w:rPr>
        <w:t>年0</w:t>
      </w:r>
      <w:r>
        <w:rPr>
          <w:rFonts w:hint="eastAsia" w:ascii="宋体" w:hAnsi="宋体" w:eastAsia="宋体" w:cs="宋体"/>
          <w:sz w:val="24"/>
          <w:lang w:val="en-US" w:eastAsia="zh-CN"/>
        </w:rPr>
        <w:t>7</w:t>
      </w:r>
      <w:r>
        <w:rPr>
          <w:rFonts w:hint="eastAsia" w:ascii="宋体" w:hAnsi="宋体" w:cs="宋体"/>
          <w:sz w:val="24"/>
        </w:rPr>
        <w:t>月</w:t>
      </w:r>
      <w:r>
        <w:rPr>
          <w:rFonts w:hint="eastAsia" w:ascii="宋体" w:hAnsi="宋体" w:eastAsia="宋体" w:cs="宋体"/>
          <w:sz w:val="24"/>
          <w:lang w:val="en-US" w:eastAsia="zh-CN"/>
        </w:rPr>
        <w:t>03</w:t>
      </w:r>
      <w:r>
        <w:rPr>
          <w:rFonts w:hint="eastAsia" w:ascii="宋体" w:hAnsi="宋体" w:cs="宋体"/>
          <w:sz w:val="24"/>
        </w:rPr>
        <w:t>日10:</w:t>
      </w:r>
      <w:r>
        <w:rPr>
          <w:rFonts w:hint="eastAsia" w:ascii="宋体" w:hAnsi="宋体" w:eastAsia="宋体" w:cs="宋体"/>
          <w:sz w:val="24"/>
          <w:lang w:val="en-US" w:eastAsia="zh-CN"/>
        </w:rPr>
        <w:t>00</w:t>
      </w:r>
      <w:r>
        <w:rPr>
          <w:rFonts w:hint="eastAsia" w:ascii="宋体" w:hAnsi="宋体" w:cs="宋体"/>
          <w:sz w:val="24"/>
        </w:rPr>
        <w:t>。逾期递交采购人有权不予受理。</w:t>
      </w:r>
    </w:p>
    <w:p w14:paraId="007637D6">
      <w:pPr>
        <w:widowControl/>
        <w:tabs>
          <w:tab w:val="left" w:pos="960"/>
        </w:tabs>
        <w:spacing w:line="312" w:lineRule="auto"/>
        <w:ind w:firstLine="720" w:firstLineChars="300"/>
        <w:jc w:val="left"/>
        <w:rPr>
          <w:rFonts w:hint="eastAsia" w:ascii="宋体" w:hAnsi="宋体" w:cs="宋体"/>
          <w:sz w:val="24"/>
        </w:rPr>
      </w:pPr>
      <w:r>
        <w:rPr>
          <w:rFonts w:hint="eastAsia" w:ascii="宋体" w:hAnsi="宋体" w:cs="宋体"/>
          <w:sz w:val="24"/>
        </w:rPr>
        <w:t>3.开标时间：</w:t>
      </w:r>
      <w:r>
        <w:rPr>
          <w:rFonts w:hint="eastAsia" w:ascii="宋体" w:hAnsi="宋体" w:cs="宋体"/>
          <w:sz w:val="24"/>
          <w:lang w:val="en-US" w:eastAsia="zh-CN"/>
        </w:rPr>
        <w:t>2026</w:t>
      </w:r>
      <w:r>
        <w:rPr>
          <w:rFonts w:hint="eastAsia" w:ascii="宋体" w:hAnsi="宋体" w:cs="宋体"/>
          <w:sz w:val="24"/>
        </w:rPr>
        <w:t>年0</w:t>
      </w:r>
      <w:r>
        <w:rPr>
          <w:rFonts w:hint="eastAsia" w:ascii="宋体" w:hAnsi="宋体" w:eastAsia="宋体" w:cs="宋体"/>
          <w:sz w:val="24"/>
          <w:lang w:val="en-US" w:eastAsia="zh-CN"/>
        </w:rPr>
        <w:t>7</w:t>
      </w:r>
      <w:r>
        <w:rPr>
          <w:rFonts w:hint="eastAsia" w:ascii="宋体" w:hAnsi="宋体" w:cs="宋体"/>
          <w:sz w:val="24"/>
        </w:rPr>
        <w:t>月</w:t>
      </w:r>
      <w:r>
        <w:rPr>
          <w:rFonts w:hint="eastAsia" w:ascii="宋体" w:hAnsi="宋体" w:eastAsia="宋体" w:cs="宋体"/>
          <w:sz w:val="24"/>
          <w:lang w:val="en-US" w:eastAsia="zh-CN"/>
        </w:rPr>
        <w:t>03</w:t>
      </w:r>
      <w:r>
        <w:rPr>
          <w:rFonts w:hint="eastAsia" w:ascii="宋体" w:hAnsi="宋体" w:cs="宋体"/>
          <w:sz w:val="24"/>
        </w:rPr>
        <w:t>日10：</w:t>
      </w:r>
      <w:r>
        <w:rPr>
          <w:rFonts w:hint="eastAsia" w:ascii="宋体" w:hAnsi="宋体" w:eastAsia="宋体" w:cs="宋体"/>
          <w:sz w:val="24"/>
          <w:lang w:val="en-US" w:eastAsia="zh-CN"/>
        </w:rPr>
        <w:t>00</w:t>
      </w:r>
      <w:r>
        <w:rPr>
          <w:rFonts w:hint="eastAsia" w:ascii="宋体" w:hAnsi="宋体" w:cs="宋体"/>
          <w:sz w:val="24"/>
        </w:rPr>
        <w:t>。</w:t>
      </w:r>
    </w:p>
    <w:p w14:paraId="246AA3DC">
      <w:pPr>
        <w:widowControl/>
        <w:spacing w:before="0" w:beforeLines="-2147483648" w:beforeAutospacing="0" w:after="0" w:afterLines="-2147483648" w:afterAutospacing="0" w:line="312" w:lineRule="auto"/>
        <w:ind w:firstLine="720" w:firstLineChars="300"/>
        <w:jc w:val="left"/>
        <w:rPr>
          <w:rStyle w:val="16"/>
          <w:rFonts w:hint="eastAsia" w:ascii="Times New Roman" w:hAnsi="Times New Roman" w:eastAsia="黑体" w:cs="Times New Roman"/>
          <w:bCs/>
          <w:kern w:val="2"/>
          <w:sz w:val="28"/>
          <w:szCs w:val="28"/>
          <w:lang w:val="en-US" w:eastAsia="zh-CN" w:bidi="ar-SA"/>
        </w:rPr>
      </w:pPr>
      <w:r>
        <w:rPr>
          <w:rFonts w:hint="eastAsia" w:ascii="宋体" w:hAnsi="宋体" w:cs="宋体"/>
          <w:sz w:val="24"/>
        </w:rPr>
        <w:t>4.响应文件递交及开标地点：</w:t>
      </w:r>
      <w:r>
        <w:rPr>
          <w:rFonts w:hint="eastAsia" w:ascii="宋体" w:hAnsi="宋体" w:cs="宋体"/>
          <w:sz w:val="24"/>
          <w:lang w:eastAsia="zh-CN"/>
        </w:rPr>
        <w:t>广州市天河区临江大道海心沙亚运公园西区</w:t>
      </w:r>
      <w:r>
        <w:rPr>
          <w:rFonts w:hint="eastAsia" w:ascii="宋体" w:hAnsi="宋体" w:cs="宋体"/>
          <w:sz w:val="24"/>
          <w:lang w:val="en-US" w:eastAsia="zh-CN"/>
        </w:rPr>
        <w:t>看台1</w:t>
      </w:r>
      <w:r>
        <w:rPr>
          <w:rFonts w:hint="eastAsia" w:ascii="宋体" w:hAnsi="宋体" w:cs="宋体"/>
          <w:sz w:val="24"/>
          <w:lang w:eastAsia="zh-CN"/>
        </w:rPr>
        <w:t>楼会议室</w:t>
      </w:r>
      <w:r>
        <w:rPr>
          <w:rFonts w:hint="eastAsia" w:ascii="宋体" w:hAnsi="宋体" w:cs="宋体"/>
          <w:sz w:val="24"/>
        </w:rPr>
        <w:t>。</w:t>
      </w:r>
    </w:p>
    <w:p w14:paraId="19E2CA35">
      <w:pPr>
        <w:widowControl/>
        <w:kinsoku/>
        <w:autoSpaceDE/>
        <w:autoSpaceDN/>
        <w:adjustRightInd/>
        <w:snapToGrid/>
        <w:spacing w:beforeLines="0" w:afterLines="0" w:line="500" w:lineRule="exact"/>
        <w:ind w:firstLine="645" w:firstLineChars="0"/>
        <w:jc w:val="both"/>
        <w:textAlignment w:val="auto"/>
        <w:rPr>
          <w:rFonts w:hint="eastAsia" w:ascii="宋体" w:hAnsi="宋体" w:eastAsia="宋体" w:cs="宋体"/>
          <w:b w:val="0"/>
          <w:bCs w:val="0"/>
          <w:snapToGrid/>
          <w:kern w:val="0"/>
          <w:sz w:val="24"/>
          <w:szCs w:val="24"/>
          <w:lang w:val="en-US" w:eastAsia="zh-CN"/>
        </w:rPr>
      </w:pPr>
      <w:r>
        <w:rPr>
          <w:rFonts w:hint="eastAsia" w:ascii="宋体" w:hAnsi="宋体" w:eastAsia="宋体" w:cs="宋体"/>
          <w:b w:val="0"/>
          <w:bCs w:val="0"/>
          <w:snapToGrid/>
          <w:kern w:val="0"/>
          <w:sz w:val="24"/>
          <w:szCs w:val="24"/>
          <w:lang w:eastAsia="zh-CN"/>
        </w:rPr>
        <w:t>（</w:t>
      </w:r>
      <w:r>
        <w:rPr>
          <w:rFonts w:hint="eastAsia" w:ascii="宋体" w:hAnsi="宋体" w:eastAsia="宋体" w:cs="宋体"/>
          <w:b w:val="0"/>
          <w:bCs w:val="0"/>
          <w:snapToGrid/>
          <w:kern w:val="0"/>
          <w:sz w:val="24"/>
          <w:szCs w:val="24"/>
          <w:lang w:val="en-US" w:eastAsia="zh-CN"/>
        </w:rPr>
        <w:t>三</w:t>
      </w:r>
      <w:r>
        <w:rPr>
          <w:rFonts w:hint="eastAsia" w:ascii="宋体" w:hAnsi="宋体" w:eastAsia="宋体" w:cs="宋体"/>
          <w:b w:val="0"/>
          <w:bCs w:val="0"/>
          <w:snapToGrid/>
          <w:kern w:val="0"/>
          <w:sz w:val="24"/>
          <w:szCs w:val="24"/>
          <w:lang w:eastAsia="zh-CN"/>
        </w:rPr>
        <w:t>）</w:t>
      </w:r>
      <w:r>
        <w:rPr>
          <w:rFonts w:hint="eastAsia" w:ascii="宋体" w:hAnsi="宋体" w:eastAsia="宋体" w:cs="宋体"/>
          <w:b w:val="0"/>
          <w:bCs w:val="0"/>
          <w:snapToGrid/>
          <w:kern w:val="0"/>
          <w:sz w:val="24"/>
          <w:szCs w:val="24"/>
          <w:lang w:val="en-US" w:eastAsia="zh-CN"/>
        </w:rPr>
        <w:t>信息发布</w:t>
      </w:r>
    </w:p>
    <w:bookmarkEnd w:id="1"/>
    <w:bookmarkEnd w:id="2"/>
    <w:bookmarkEnd w:id="3"/>
    <w:bookmarkEnd w:id="4"/>
    <w:p w14:paraId="4C88656B">
      <w:pPr>
        <w:widowControl/>
        <w:spacing w:before="0" w:beforeLines="0" w:beforeAutospacing="0" w:after="0" w:afterLines="0" w:afterAutospacing="0" w:line="500" w:lineRule="exact"/>
        <w:ind w:firstLine="645"/>
        <w:jc w:val="both"/>
        <w:rPr>
          <w:rFonts w:ascii="Times New Roman" w:hAnsi="Times New Roman" w:eastAsia="宋体" w:cs="Times New Roman"/>
          <w:kern w:val="0"/>
          <w:sz w:val="24"/>
          <w:szCs w:val="24"/>
          <w:lang w:val="en-US" w:eastAsia="zh-CN" w:bidi="ar-SA"/>
        </w:rPr>
      </w:pPr>
      <w:r>
        <w:rPr>
          <w:rFonts w:ascii="Times New Roman" w:hAnsi="Times New Roman" w:eastAsia="宋体" w:cs="Times New Roman"/>
          <w:color w:val="000000"/>
          <w:kern w:val="0"/>
          <w:sz w:val="24"/>
          <w:szCs w:val="24"/>
          <w:shd w:val="clear" w:color="auto" w:fill="FFFFFF"/>
          <w:lang w:val="en-US" w:eastAsia="zh-CN" w:bidi="ar-SA"/>
        </w:rPr>
        <w:t>本项目公告在广州国企阳光采购信息发布平台（https://ygcg.gzggzy.cn）、</w:t>
      </w:r>
      <w:r>
        <w:rPr>
          <w:rFonts w:ascii="Times New Roman" w:hAnsi="Times New Roman" w:eastAsia="宋体" w:cs="Times New Roman"/>
          <w:kern w:val="0"/>
          <w:sz w:val="24"/>
          <w:szCs w:val="24"/>
          <w:lang w:val="en-US" w:eastAsia="zh-CN" w:bidi="ar-SA"/>
        </w:rPr>
        <w:t>广州市城投资产经营管理有限公司网站（https://www.gzccic.com/）</w:t>
      </w:r>
      <w:r>
        <w:rPr>
          <w:rFonts w:ascii="Times New Roman" w:hAnsi="Times New Roman" w:eastAsia="宋体" w:cs="Times New Roman"/>
          <w:color w:val="000000"/>
          <w:kern w:val="0"/>
          <w:sz w:val="24"/>
          <w:szCs w:val="24"/>
          <w:shd w:val="clear" w:color="auto" w:fill="FFFFFF"/>
          <w:lang w:val="en-US" w:eastAsia="zh-CN" w:bidi="ar-SA"/>
        </w:rPr>
        <w:t>发布。本公告的修改、补充，在上述网站发布；本公告在各媒体发布的文本如有不同之处，以在上述网站发布的文本为准。</w:t>
      </w:r>
    </w:p>
    <w:p w14:paraId="731CB329">
      <w:pPr>
        <w:widowControl/>
        <w:spacing w:before="0" w:beforeLines="0" w:beforeAutospacing="0" w:after="0" w:afterLines="0" w:afterAutospacing="0" w:line="500" w:lineRule="exact"/>
        <w:ind w:firstLine="645"/>
        <w:jc w:val="both"/>
        <w:rPr>
          <w:rStyle w:val="16"/>
          <w:rFonts w:ascii="Times New Roman" w:hAnsi="Times New Roman" w:eastAsia="宋体" w:cs="Times New Roman"/>
          <w:bCs/>
          <w:kern w:val="0"/>
          <w:sz w:val="24"/>
          <w:szCs w:val="24"/>
          <w:lang w:val="en-US" w:eastAsia="zh-CN" w:bidi="ar-SA"/>
        </w:rPr>
      </w:pPr>
      <w:r>
        <w:rPr>
          <w:rStyle w:val="16"/>
          <w:rFonts w:ascii="Times New Roman" w:hAnsi="Times New Roman" w:eastAsia="黑体" w:cs="Times New Roman"/>
          <w:bCs/>
          <w:kern w:val="2"/>
          <w:sz w:val="28"/>
          <w:szCs w:val="28"/>
          <w:lang w:val="en-US" w:eastAsia="zh-CN" w:bidi="ar-SA"/>
        </w:rPr>
        <w:t>十二、采购方联系方式</w:t>
      </w:r>
    </w:p>
    <w:p w14:paraId="17D4D191">
      <w:pPr>
        <w:widowControl/>
        <w:spacing w:before="0" w:beforeLines="0" w:beforeAutospacing="0" w:after="0" w:afterLines="0" w:afterAutospacing="0" w:line="500" w:lineRule="exact"/>
        <w:ind w:firstLine="720" w:firstLineChars="300"/>
        <w:jc w:val="both"/>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联系人：</w:t>
      </w:r>
      <w:r>
        <w:rPr>
          <w:rFonts w:hint="eastAsia" w:ascii="Times New Roman" w:hAnsi="Times New Roman" w:eastAsia="宋体" w:cs="Times New Roman"/>
          <w:kern w:val="0"/>
          <w:sz w:val="24"/>
          <w:szCs w:val="24"/>
          <w:lang w:val="en-US" w:eastAsia="zh-CN" w:bidi="ar-SA"/>
        </w:rPr>
        <w:t>周小姐</w:t>
      </w:r>
      <w:r>
        <w:rPr>
          <w:rFonts w:ascii="Times New Roman" w:hAnsi="Times New Roman" w:eastAsia="宋体" w:cs="Times New Roman"/>
          <w:kern w:val="0"/>
          <w:sz w:val="24"/>
          <w:szCs w:val="24"/>
          <w:lang w:val="en-US" w:eastAsia="zh-CN" w:bidi="ar-SA"/>
        </w:rPr>
        <w:t xml:space="preserve">  </w:t>
      </w:r>
    </w:p>
    <w:p w14:paraId="56696F0C">
      <w:pPr>
        <w:widowControl/>
        <w:spacing w:before="0" w:beforeLines="0" w:beforeAutospacing="0" w:after="0" w:afterLines="0" w:afterAutospacing="0" w:line="500" w:lineRule="exact"/>
        <w:ind w:firstLine="720" w:firstLineChars="300"/>
        <w:jc w:val="both"/>
        <w:rPr>
          <w:rFonts w:hint="default"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联系电话：</w:t>
      </w:r>
      <w:r>
        <w:rPr>
          <w:rFonts w:hint="eastAsia" w:ascii="Times New Roman" w:hAnsi="Times New Roman" w:eastAsia="宋体" w:cs="Times New Roman"/>
          <w:kern w:val="0"/>
          <w:sz w:val="24"/>
          <w:szCs w:val="24"/>
          <w:lang w:val="en-US" w:eastAsia="zh-CN" w:bidi="ar-SA"/>
        </w:rPr>
        <w:t>13660817483</w:t>
      </w:r>
    </w:p>
    <w:p w14:paraId="0DFA6726">
      <w:pPr>
        <w:spacing w:before="185" w:line="221" w:lineRule="auto"/>
        <w:ind w:left="480" w:firstLine="240" w:firstLineChars="100"/>
        <w:rPr>
          <w:rFonts w:hint="default" w:ascii="宋体" w:hAnsi="宋体" w:eastAsia="宋体" w:cs="宋体"/>
          <w:sz w:val="24"/>
          <w:szCs w:val="24"/>
          <w:lang w:val="en-US" w:eastAsia="zh-CN"/>
        </w:rPr>
      </w:pPr>
      <w:r>
        <w:rPr>
          <w:rFonts w:ascii="Times New Roman" w:hAnsi="Times New Roman" w:eastAsia="宋体" w:cs="Times New Roman"/>
          <w:kern w:val="0"/>
          <w:sz w:val="24"/>
          <w:szCs w:val="24"/>
          <w:lang w:val="en-US" w:eastAsia="zh-CN" w:bidi="ar-SA"/>
        </w:rPr>
        <w:t>联系地址：广州市天河区临江大道海心沙亚运公园西区</w:t>
      </w:r>
      <w:r>
        <w:rPr>
          <w:rFonts w:hint="eastAsia" w:ascii="Times New Roman" w:hAnsi="Times New Roman" w:eastAsia="宋体" w:cs="Times New Roman"/>
          <w:kern w:val="0"/>
          <w:sz w:val="24"/>
          <w:szCs w:val="24"/>
          <w:lang w:val="en-US" w:eastAsia="zh-CN" w:bidi="ar-SA"/>
        </w:rPr>
        <w:t>3</w:t>
      </w:r>
      <w:r>
        <w:rPr>
          <w:rFonts w:ascii="Times New Roman" w:hAnsi="Times New Roman" w:eastAsia="宋体" w:cs="Times New Roman"/>
          <w:kern w:val="0"/>
          <w:sz w:val="24"/>
          <w:szCs w:val="24"/>
          <w:lang w:val="en-US" w:eastAsia="zh-CN" w:bidi="ar-SA"/>
        </w:rPr>
        <w:t>楼（花城汇项目）</w:t>
      </w:r>
    </w:p>
    <w:p w14:paraId="368A13A9">
      <w:pPr>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val="en-US" w:eastAsia="en-US" w:bidi="ar-SA"/>
        </w:rPr>
      </w:pPr>
    </w:p>
    <w:p w14:paraId="48684AB3">
      <w:pPr>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val="en-US" w:eastAsia="en-US" w:bidi="ar-SA"/>
        </w:rPr>
      </w:pPr>
    </w:p>
    <w:p w14:paraId="0528C894">
      <w:pPr>
        <w:spacing w:before="78" w:line="219" w:lineRule="auto"/>
        <w:ind w:left="3481"/>
        <w:rPr>
          <w:rFonts w:ascii="宋体" w:hAnsi="宋体" w:eastAsia="宋体" w:cs="宋体"/>
          <w:sz w:val="24"/>
          <w:szCs w:val="24"/>
        </w:rPr>
      </w:pPr>
      <w:r>
        <w:rPr>
          <w:rFonts w:ascii="宋体" w:hAnsi="宋体" w:eastAsia="宋体" w:cs="宋体"/>
          <w:spacing w:val="-1"/>
          <w:sz w:val="24"/>
          <w:szCs w:val="24"/>
        </w:rPr>
        <w:t>广州市城投资产经营管理有限公司珠江新城分公司</w:t>
      </w:r>
    </w:p>
    <w:p w14:paraId="73CF63C8">
      <w:pPr>
        <w:spacing w:before="185" w:line="219" w:lineRule="auto"/>
        <w:ind w:left="7024"/>
        <w:rPr>
          <w:rFonts w:ascii="宋体" w:hAnsi="宋体" w:eastAsia="宋体" w:cs="宋体"/>
          <w:sz w:val="24"/>
          <w:szCs w:val="24"/>
        </w:rPr>
      </w:pPr>
      <w:r>
        <w:rPr>
          <w:rFonts w:ascii="宋体" w:hAnsi="宋体" w:eastAsia="宋体" w:cs="宋体"/>
          <w:spacing w:val="-1"/>
          <w:sz w:val="24"/>
          <w:szCs w:val="24"/>
        </w:rPr>
        <w:t>202</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年</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月</w:t>
      </w:r>
      <w:r>
        <w:rPr>
          <w:rFonts w:hint="eastAsia" w:ascii="宋体" w:hAnsi="宋体" w:eastAsia="宋体" w:cs="宋体"/>
          <w:spacing w:val="-1"/>
          <w:sz w:val="24"/>
          <w:szCs w:val="24"/>
          <w:lang w:val="en-US" w:eastAsia="zh-CN"/>
        </w:rPr>
        <w:t>25</w:t>
      </w:r>
      <w:r>
        <w:rPr>
          <w:rFonts w:ascii="宋体" w:hAnsi="宋体" w:eastAsia="宋体" w:cs="宋体"/>
          <w:spacing w:val="-1"/>
          <w:sz w:val="24"/>
          <w:szCs w:val="24"/>
        </w:rPr>
        <w:t>日</w:t>
      </w:r>
    </w:p>
    <w:p w14:paraId="3AF50EF7">
      <w:pPr>
        <w:spacing w:line="219" w:lineRule="auto"/>
        <w:rPr>
          <w:rFonts w:ascii="宋体" w:hAnsi="宋体" w:eastAsia="宋体" w:cs="宋体"/>
          <w:sz w:val="24"/>
          <w:szCs w:val="24"/>
        </w:rPr>
        <w:sectPr>
          <w:pgSz w:w="11907" w:h="16840"/>
          <w:pgMar w:top="1263" w:right="1282" w:bottom="0" w:left="1371" w:header="0" w:footer="0" w:gutter="0"/>
          <w:cols w:space="720" w:num="1"/>
        </w:sectPr>
      </w:pPr>
    </w:p>
    <w:p w14:paraId="11318154">
      <w:pPr>
        <w:widowControl/>
        <w:kinsoku/>
        <w:autoSpaceDE/>
        <w:autoSpaceDN/>
        <w:adjustRightInd/>
        <w:snapToGrid/>
        <w:spacing w:line="360" w:lineRule="auto"/>
        <w:ind w:right="480"/>
        <w:jc w:val="center"/>
        <w:textAlignment w:val="auto"/>
        <w:rPr>
          <w:rFonts w:hint="eastAsia" w:ascii="Times New Roman" w:hAnsi="Times New Roman" w:eastAsia="仿宋_GB2312" w:cs="Times New Roman"/>
          <w:b/>
          <w:bCs/>
          <w:snapToGrid/>
          <w:kern w:val="2"/>
          <w:sz w:val="36"/>
          <w:szCs w:val="36"/>
          <w:lang w:eastAsia="zh-CN"/>
        </w:rPr>
      </w:pPr>
      <w:r>
        <w:rPr>
          <w:rFonts w:hint="eastAsia" w:ascii="Times New Roman" w:hAnsi="Times New Roman" w:eastAsia="仿宋_GB2312" w:cs="Times New Roman"/>
          <w:b/>
          <w:bCs/>
          <w:snapToGrid/>
          <w:kern w:val="2"/>
          <w:sz w:val="36"/>
          <w:szCs w:val="36"/>
          <w:lang w:val="en-US" w:eastAsia="zh-CN"/>
        </w:rPr>
        <w:t>一</w:t>
      </w:r>
      <w:r>
        <w:rPr>
          <w:rFonts w:hint="eastAsia" w:ascii="Times New Roman" w:hAnsi="Times New Roman" w:eastAsia="仿宋_GB2312" w:cs="Times New Roman"/>
          <w:b/>
          <w:bCs/>
          <w:snapToGrid/>
          <w:kern w:val="2"/>
          <w:sz w:val="36"/>
          <w:szCs w:val="36"/>
          <w:lang w:eastAsia="zh-CN"/>
        </w:rPr>
        <w:t>、</w:t>
      </w:r>
      <w:r>
        <w:rPr>
          <w:rFonts w:hint="eastAsia" w:ascii="Times New Roman" w:hAnsi="Times New Roman" w:eastAsia="仿宋_GB2312" w:cs="Times New Roman"/>
          <w:b/>
          <w:bCs/>
          <w:snapToGrid/>
          <w:kern w:val="2"/>
          <w:sz w:val="36"/>
          <w:szCs w:val="36"/>
          <w:lang w:val="en-US" w:eastAsia="zh-CN"/>
        </w:rPr>
        <w:t>比选</w:t>
      </w:r>
      <w:r>
        <w:rPr>
          <w:rFonts w:hint="eastAsia" w:ascii="Times New Roman" w:hAnsi="Times New Roman" w:eastAsia="仿宋_GB2312" w:cs="Times New Roman"/>
          <w:b/>
          <w:bCs/>
          <w:snapToGrid/>
          <w:kern w:val="2"/>
          <w:sz w:val="36"/>
          <w:szCs w:val="36"/>
          <w:lang w:eastAsia="zh-CN"/>
        </w:rPr>
        <w:t>须知</w:t>
      </w:r>
    </w:p>
    <w:p w14:paraId="1AC47E93">
      <w:pPr>
        <w:jc w:val="center"/>
        <w:rPr>
          <w:rFonts w:hint="eastAsia" w:ascii="仿宋" w:hAnsi="仿宋" w:eastAsia="仿宋" w:cs="仿宋"/>
        </w:rPr>
      </w:pPr>
    </w:p>
    <w:tbl>
      <w:tblPr>
        <w:tblStyle w:val="14"/>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1871"/>
        <w:gridCol w:w="6766"/>
      </w:tblGrid>
      <w:tr w14:paraId="3E4FB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BDB3914">
            <w:pPr>
              <w:spacing w:line="240" w:lineRule="atLeast"/>
              <w:jc w:val="center"/>
              <w:rPr>
                <w:rFonts w:hint="eastAsia" w:eastAsia="仿宋_GB2312"/>
                <w:szCs w:val="21"/>
              </w:rPr>
            </w:pPr>
            <w:r>
              <w:rPr>
                <w:rFonts w:hint="eastAsia" w:eastAsia="仿宋_GB2312"/>
                <w:szCs w:val="21"/>
              </w:rPr>
              <w:t>项号</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68DD8EE">
            <w:pPr>
              <w:spacing w:line="240" w:lineRule="atLeast"/>
              <w:jc w:val="center"/>
              <w:rPr>
                <w:rFonts w:hint="eastAsia" w:eastAsia="仿宋_GB2312"/>
                <w:szCs w:val="21"/>
              </w:rPr>
            </w:pPr>
            <w:r>
              <w:rPr>
                <w:rFonts w:hint="eastAsia" w:eastAsia="仿宋_GB2312"/>
                <w:szCs w:val="21"/>
              </w:rPr>
              <w:t>内    容</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7C7410FE">
            <w:pPr>
              <w:spacing w:line="240" w:lineRule="atLeast"/>
              <w:jc w:val="center"/>
              <w:rPr>
                <w:rFonts w:hint="eastAsia" w:eastAsia="仿宋_GB2312"/>
                <w:szCs w:val="21"/>
              </w:rPr>
            </w:pPr>
            <w:r>
              <w:rPr>
                <w:rFonts w:hint="eastAsia" w:eastAsia="仿宋_GB2312"/>
                <w:szCs w:val="21"/>
              </w:rPr>
              <w:t>说明与要求</w:t>
            </w:r>
          </w:p>
        </w:tc>
      </w:tr>
      <w:tr w14:paraId="39311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91EF2B2">
            <w:pPr>
              <w:spacing w:line="240" w:lineRule="atLeast"/>
              <w:jc w:val="center"/>
              <w:rPr>
                <w:rFonts w:hint="eastAsia" w:eastAsia="仿宋_GB2312"/>
                <w:szCs w:val="21"/>
              </w:rPr>
            </w:pPr>
            <w:r>
              <w:rPr>
                <w:rFonts w:hint="eastAsia" w:eastAsia="仿宋_GB2312"/>
                <w:szCs w:val="21"/>
              </w:rPr>
              <w:t>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D013E00">
            <w:pPr>
              <w:spacing w:line="240" w:lineRule="atLeast"/>
              <w:jc w:val="center"/>
              <w:rPr>
                <w:rFonts w:hint="eastAsia" w:eastAsia="仿宋_GB2312"/>
                <w:szCs w:val="21"/>
              </w:rPr>
            </w:pPr>
            <w:r>
              <w:rPr>
                <w:rFonts w:hint="eastAsia" w:eastAsia="仿宋_GB2312"/>
                <w:szCs w:val="21"/>
              </w:rPr>
              <w:t>采购项目</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5868B344">
            <w:pPr>
              <w:spacing w:line="240" w:lineRule="atLeast"/>
              <w:jc w:val="left"/>
              <w:rPr>
                <w:rFonts w:hint="eastAsia" w:eastAsia="仿宋_GB2312"/>
                <w:szCs w:val="21"/>
              </w:rPr>
            </w:pPr>
            <w:r>
              <w:rPr>
                <w:rFonts w:hint="eastAsia" w:eastAsia="仿宋_GB2312"/>
                <w:szCs w:val="21"/>
              </w:rPr>
              <w:t>花城汇北中南三区及海心沙11宗欠费案件专项律师代理服务采购项目</w:t>
            </w:r>
          </w:p>
        </w:tc>
      </w:tr>
      <w:tr w14:paraId="2B34A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63A88FF">
            <w:pPr>
              <w:spacing w:line="240" w:lineRule="atLeast"/>
              <w:jc w:val="center"/>
              <w:rPr>
                <w:rFonts w:hint="eastAsia" w:eastAsia="仿宋_GB2312"/>
                <w:szCs w:val="21"/>
              </w:rPr>
            </w:pPr>
            <w:r>
              <w:rPr>
                <w:rFonts w:hint="eastAsia" w:eastAsia="仿宋_GB2312"/>
                <w:szCs w:val="21"/>
              </w:rPr>
              <w:t>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C571B4B">
            <w:pPr>
              <w:spacing w:line="240" w:lineRule="atLeast"/>
              <w:jc w:val="center"/>
              <w:rPr>
                <w:rFonts w:hint="eastAsia" w:eastAsia="仿宋_GB2312"/>
                <w:szCs w:val="21"/>
              </w:rPr>
            </w:pPr>
            <w:r>
              <w:rPr>
                <w:rFonts w:hint="eastAsia" w:eastAsia="仿宋_GB2312"/>
                <w:szCs w:val="21"/>
              </w:rPr>
              <w:t>采购单位</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64496DFE">
            <w:pPr>
              <w:spacing w:line="240" w:lineRule="atLeast"/>
              <w:jc w:val="left"/>
              <w:rPr>
                <w:rFonts w:hint="eastAsia" w:eastAsia="仿宋_GB2312"/>
                <w:szCs w:val="21"/>
              </w:rPr>
            </w:pPr>
            <w:r>
              <w:rPr>
                <w:rFonts w:hint="eastAsia" w:eastAsia="仿宋_GB2312"/>
                <w:szCs w:val="21"/>
              </w:rPr>
              <w:t>广州市城投资产经营管理有限公司珠江新城分公司</w:t>
            </w:r>
          </w:p>
        </w:tc>
      </w:tr>
      <w:tr w14:paraId="5C7BD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3E4BCFE">
            <w:pPr>
              <w:spacing w:line="240" w:lineRule="atLeast"/>
              <w:jc w:val="center"/>
              <w:rPr>
                <w:rFonts w:hint="default" w:eastAsia="仿宋_GB2312"/>
                <w:szCs w:val="21"/>
                <w:lang w:val="en-US" w:eastAsia="zh-CN"/>
              </w:rPr>
            </w:pPr>
            <w:r>
              <w:rPr>
                <w:rFonts w:hint="eastAsia" w:eastAsia="仿宋_GB2312"/>
                <w:szCs w:val="21"/>
                <w:lang w:val="en-US" w:eastAsia="zh-CN"/>
              </w:rPr>
              <w:t>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0DFA47D4">
            <w:pPr>
              <w:spacing w:line="240" w:lineRule="atLeast"/>
              <w:jc w:val="center"/>
              <w:rPr>
                <w:rFonts w:hint="eastAsia" w:eastAsia="仿宋_GB2312"/>
                <w:szCs w:val="21"/>
                <w:lang w:val="en-US" w:eastAsia="zh-CN"/>
              </w:rPr>
            </w:pPr>
            <w:r>
              <w:rPr>
                <w:rFonts w:hint="eastAsia" w:eastAsia="仿宋_GB2312"/>
                <w:szCs w:val="21"/>
                <w:lang w:val="en-US" w:eastAsia="zh-CN"/>
              </w:rPr>
              <w:t>实施地点</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00C54477">
            <w:pPr>
              <w:spacing w:line="240" w:lineRule="atLeast"/>
              <w:jc w:val="left"/>
              <w:rPr>
                <w:rFonts w:hint="default" w:eastAsia="仿宋_GB2312"/>
                <w:szCs w:val="21"/>
                <w:lang w:val="en-US" w:eastAsia="zh-CN"/>
              </w:rPr>
            </w:pPr>
            <w:r>
              <w:rPr>
                <w:rFonts w:hint="eastAsia" w:eastAsia="仿宋_GB2312"/>
                <w:szCs w:val="21"/>
                <w:lang w:val="en-US" w:eastAsia="zh-CN"/>
              </w:rPr>
              <w:t>广州市</w:t>
            </w:r>
          </w:p>
        </w:tc>
      </w:tr>
      <w:tr w14:paraId="3C437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1A993CA">
            <w:pPr>
              <w:spacing w:line="240" w:lineRule="atLeast"/>
              <w:jc w:val="center"/>
              <w:rPr>
                <w:rFonts w:hint="eastAsia" w:eastAsia="仿宋_GB2312"/>
                <w:szCs w:val="21"/>
                <w:lang w:eastAsia="zh-CN"/>
              </w:rPr>
            </w:pPr>
            <w:r>
              <w:rPr>
                <w:rFonts w:hint="eastAsia" w:eastAsia="仿宋_GB2312"/>
                <w:szCs w:val="21"/>
                <w:lang w:val="en-US" w:eastAsia="zh-CN"/>
              </w:rPr>
              <w:t>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2FA310A">
            <w:pPr>
              <w:spacing w:line="240" w:lineRule="atLeast"/>
              <w:jc w:val="center"/>
              <w:rPr>
                <w:rFonts w:hint="eastAsia" w:eastAsia="仿宋_GB2312"/>
                <w:szCs w:val="21"/>
              </w:rPr>
            </w:pPr>
            <w:r>
              <w:rPr>
                <w:rFonts w:hint="eastAsia" w:eastAsia="仿宋_GB2312"/>
                <w:szCs w:val="21"/>
              </w:rPr>
              <w:t>采购方式</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7A53DC4A">
            <w:pPr>
              <w:spacing w:line="240" w:lineRule="atLeast"/>
              <w:jc w:val="left"/>
              <w:rPr>
                <w:rFonts w:hint="default" w:eastAsia="仿宋_GB2312"/>
                <w:szCs w:val="21"/>
                <w:lang w:val="en-US" w:eastAsia="zh-CN"/>
              </w:rPr>
            </w:pPr>
            <w:r>
              <w:rPr>
                <w:rFonts w:hint="eastAsia" w:eastAsia="仿宋_GB2312"/>
                <w:szCs w:val="21"/>
                <w:lang w:val="en-US" w:eastAsia="zh-CN"/>
              </w:rPr>
              <w:t>比选采购</w:t>
            </w:r>
          </w:p>
        </w:tc>
      </w:tr>
      <w:tr w14:paraId="44DCB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AA1F24A">
            <w:pPr>
              <w:spacing w:line="240" w:lineRule="atLeast"/>
              <w:jc w:val="center"/>
              <w:rPr>
                <w:rFonts w:hint="eastAsia" w:eastAsia="仿宋_GB2312"/>
                <w:szCs w:val="21"/>
                <w:lang w:eastAsia="zh-CN"/>
              </w:rPr>
            </w:pPr>
            <w:r>
              <w:rPr>
                <w:rFonts w:hint="eastAsia" w:eastAsia="仿宋_GB2312"/>
                <w:szCs w:val="21"/>
                <w:lang w:val="en-US" w:eastAsia="zh-CN"/>
              </w:rPr>
              <w:t>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5C39C54F">
            <w:pPr>
              <w:spacing w:line="240" w:lineRule="atLeast"/>
              <w:jc w:val="center"/>
              <w:rPr>
                <w:rFonts w:hint="eastAsia" w:eastAsia="仿宋_GB2312"/>
                <w:szCs w:val="21"/>
              </w:rPr>
            </w:pPr>
            <w:r>
              <w:rPr>
                <w:rFonts w:hint="eastAsia" w:eastAsia="仿宋_GB2312"/>
                <w:szCs w:val="21"/>
              </w:rPr>
              <w:t>采购范围、内容</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1984813A">
            <w:pPr>
              <w:spacing w:line="240" w:lineRule="atLeast"/>
              <w:jc w:val="left"/>
              <w:rPr>
                <w:rFonts w:hint="eastAsia" w:eastAsia="仿宋_GB2312"/>
                <w:szCs w:val="21"/>
                <w:lang w:val="en-US" w:eastAsia="zh-CN"/>
              </w:rPr>
            </w:pPr>
            <w:r>
              <w:rPr>
                <w:rFonts w:hint="eastAsia" w:eastAsia="仿宋_GB2312"/>
                <w:szCs w:val="21"/>
                <w:lang w:val="en-US" w:eastAsia="zh-CN"/>
              </w:rPr>
              <w:t>1.具体采购内容范围及要求详见采购公告。</w:t>
            </w:r>
          </w:p>
          <w:p w14:paraId="162FCA07">
            <w:pPr>
              <w:spacing w:line="240" w:lineRule="atLeast"/>
              <w:jc w:val="left"/>
              <w:rPr>
                <w:rFonts w:hint="eastAsia" w:eastAsia="仿宋_GB2312"/>
                <w:szCs w:val="21"/>
              </w:rPr>
            </w:pPr>
            <w:r>
              <w:rPr>
                <w:rFonts w:hint="eastAsia" w:eastAsia="仿宋_GB2312"/>
                <w:szCs w:val="21"/>
                <w:lang w:val="en-US" w:eastAsia="zh-CN"/>
              </w:rPr>
              <w:t>2.双方的权利义务、合同期限、费用及支付方式等详见后附合同内容。</w:t>
            </w:r>
          </w:p>
        </w:tc>
      </w:tr>
      <w:tr w14:paraId="6A84F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16EE801">
            <w:pPr>
              <w:spacing w:line="240" w:lineRule="atLeast"/>
              <w:jc w:val="center"/>
              <w:rPr>
                <w:rFonts w:hint="eastAsia" w:eastAsia="仿宋_GB2312"/>
                <w:szCs w:val="21"/>
                <w:lang w:eastAsia="zh-CN"/>
              </w:rPr>
            </w:pPr>
            <w:r>
              <w:rPr>
                <w:rFonts w:hint="eastAsia" w:eastAsia="仿宋_GB2312"/>
                <w:szCs w:val="21"/>
                <w:lang w:val="en-US" w:eastAsia="zh-CN"/>
              </w:rPr>
              <w:t>6</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A1B2E40">
            <w:pPr>
              <w:spacing w:line="240" w:lineRule="atLeast"/>
              <w:jc w:val="center"/>
              <w:rPr>
                <w:rFonts w:hint="eastAsia" w:eastAsia="仿宋_GB2312"/>
                <w:szCs w:val="21"/>
              </w:rPr>
            </w:pPr>
            <w:r>
              <w:rPr>
                <w:rFonts w:hint="eastAsia" w:eastAsia="仿宋_GB2312"/>
                <w:szCs w:val="21"/>
              </w:rPr>
              <w:t>竞投资格要求</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754055BF">
            <w:pPr>
              <w:spacing w:line="240" w:lineRule="atLeast"/>
              <w:jc w:val="left"/>
              <w:rPr>
                <w:rFonts w:hint="eastAsia" w:eastAsia="仿宋_GB2312"/>
                <w:szCs w:val="21"/>
              </w:rPr>
            </w:pPr>
            <w:r>
              <w:rPr>
                <w:rFonts w:hint="eastAsia" w:eastAsia="仿宋_GB2312"/>
                <w:szCs w:val="21"/>
                <w:lang w:val="en-US" w:eastAsia="zh-CN"/>
              </w:rPr>
              <w:t>1.</w:t>
            </w:r>
            <w:r>
              <w:rPr>
                <w:rFonts w:hint="eastAsia" w:ascii="Arial" w:hAnsi="Arial" w:eastAsia="仿宋_GB2312" w:cs="Arial"/>
                <w:snapToGrid w:val="0"/>
                <w:color w:val="000000"/>
                <w:kern w:val="0"/>
                <w:sz w:val="21"/>
                <w:szCs w:val="21"/>
                <w:lang w:eastAsia="zh-CN"/>
              </w:rPr>
              <w:t>竞投人须是具有独立承担民事责任能力的在中华人民共和国境内注册的法人或其他组织，提供有效的营业执照（或事业单位法人证书、</w:t>
            </w:r>
            <w:r>
              <w:rPr>
                <w:rFonts w:hint="eastAsia" w:ascii="Arial" w:hAnsi="Arial" w:eastAsia="仿宋_GB2312" w:cs="Arial"/>
                <w:i w:val="0"/>
                <w:caps w:val="0"/>
                <w:snapToGrid w:val="0"/>
                <w:color w:val="000000"/>
                <w:spacing w:val="0"/>
                <w:sz w:val="21"/>
                <w:szCs w:val="21"/>
                <w:shd w:val="clear"/>
                <w:lang w:eastAsia="zh-CN"/>
              </w:rPr>
              <w:t>执业许可证</w:t>
            </w:r>
            <w:r>
              <w:rPr>
                <w:rFonts w:hint="eastAsia" w:ascii="Arial" w:hAnsi="Arial" w:eastAsia="仿宋_GB2312" w:cs="Arial"/>
                <w:snapToGrid w:val="0"/>
                <w:color w:val="000000"/>
                <w:kern w:val="0"/>
                <w:sz w:val="21"/>
                <w:szCs w:val="21"/>
                <w:lang w:eastAsia="zh-CN"/>
              </w:rPr>
              <w:t>等证明材料）复印件。</w:t>
            </w:r>
          </w:p>
          <w:p w14:paraId="0283A23B">
            <w:pPr>
              <w:spacing w:line="240" w:lineRule="atLeast"/>
              <w:jc w:val="left"/>
              <w:rPr>
                <w:rFonts w:hint="eastAsia" w:eastAsia="仿宋_GB2312"/>
                <w:szCs w:val="21"/>
              </w:rPr>
            </w:pPr>
            <w:r>
              <w:rPr>
                <w:rFonts w:hint="eastAsia" w:eastAsia="仿宋_GB2312"/>
                <w:szCs w:val="21"/>
                <w:lang w:val="en-US" w:eastAsia="zh-CN"/>
              </w:rPr>
              <w:t>2.</w:t>
            </w:r>
            <w:r>
              <w:rPr>
                <w:rFonts w:hint="eastAsia" w:eastAsia="仿宋_GB2312"/>
                <w:szCs w:val="21"/>
                <w:lang w:eastAsia="zh-CN"/>
              </w:rPr>
              <w:t>竞投人</w:t>
            </w:r>
            <w:r>
              <w:rPr>
                <w:rFonts w:hint="eastAsia" w:eastAsia="仿宋_GB2312"/>
                <w:szCs w:val="21"/>
              </w:rPr>
              <w:t>具有律师事务所执业许可证或律师事务所分所执业许可证，在执业和年检过程中，年检合格。【须提供有效期内的执业许可证明及年检合格证明（分所投标的，须提供《律师事务所分所执业许可证》及年检合格材料；总所投标的，须提供《律师事务所执业许可证》及年检合格材料），</w:t>
            </w:r>
            <w:r>
              <w:rPr>
                <w:rFonts w:hint="eastAsia" w:eastAsia="仿宋_GB2312"/>
                <w:szCs w:val="21"/>
                <w:lang w:eastAsia="zh-CN"/>
              </w:rPr>
              <w:t>竞投人</w:t>
            </w:r>
            <w:r>
              <w:rPr>
                <w:rFonts w:hint="eastAsia" w:eastAsia="仿宋_GB2312"/>
                <w:szCs w:val="21"/>
              </w:rPr>
              <w:t>近年度司法行政机关执业年检结果为合格，无年检不合格、停业整顿、吊销执业资质等违规情形】</w:t>
            </w:r>
          </w:p>
          <w:p w14:paraId="48160B7E">
            <w:pPr>
              <w:spacing w:line="240" w:lineRule="atLeast"/>
              <w:jc w:val="left"/>
              <w:rPr>
                <w:rFonts w:hint="eastAsia" w:eastAsia="仿宋_GB2312"/>
                <w:szCs w:val="21"/>
              </w:rPr>
            </w:pPr>
            <w:r>
              <w:rPr>
                <w:rFonts w:hint="eastAsia" w:eastAsia="仿宋_GB2312"/>
                <w:szCs w:val="21"/>
                <w:lang w:val="en-US" w:eastAsia="zh-CN"/>
              </w:rPr>
              <w:t>3.</w:t>
            </w:r>
            <w:r>
              <w:rPr>
                <w:rFonts w:hint="eastAsia" w:eastAsia="仿宋_GB2312"/>
                <w:szCs w:val="21"/>
                <w:lang w:eastAsia="zh-CN"/>
              </w:rPr>
              <w:t>竞投人</w:t>
            </w:r>
            <w:r>
              <w:rPr>
                <w:rFonts w:hint="eastAsia" w:eastAsia="仿宋_GB2312"/>
                <w:szCs w:val="21"/>
              </w:rPr>
              <w:t>未被中国执行信息公开网（zxgk.court.gov.cn）列入“失信被执行人”的名单，且未被信用中国网站（https://www.creditchina.gov.cn)列入“重大税收违法失信主体名单”“严重失信主体名单”。（以采购人开标当天在上述网站查询结果为准，如在上述网站查询结果均显示没有相关记录，视为没有上述不良信用记录。同时对信用信息查询记录和证据截图存档。如相关失信记录已失效，</w:t>
            </w:r>
            <w:r>
              <w:rPr>
                <w:rFonts w:hint="eastAsia" w:eastAsia="仿宋_GB2312"/>
                <w:szCs w:val="21"/>
                <w:lang w:eastAsia="zh-CN"/>
              </w:rPr>
              <w:t>竞投人</w:t>
            </w:r>
            <w:r>
              <w:rPr>
                <w:rFonts w:hint="eastAsia" w:eastAsia="仿宋_GB2312"/>
                <w:szCs w:val="21"/>
              </w:rPr>
              <w:t>须提供相关证明资料）。</w:t>
            </w:r>
          </w:p>
          <w:p w14:paraId="4D3BD5EE">
            <w:pPr>
              <w:spacing w:line="240" w:lineRule="atLeast"/>
              <w:jc w:val="left"/>
              <w:rPr>
                <w:rFonts w:hint="eastAsia" w:eastAsia="仿宋_GB2312"/>
                <w:szCs w:val="21"/>
              </w:rPr>
            </w:pPr>
            <w:r>
              <w:rPr>
                <w:rFonts w:hint="eastAsia" w:eastAsia="仿宋_GB2312"/>
                <w:szCs w:val="21"/>
                <w:lang w:val="en-US" w:eastAsia="zh-CN"/>
              </w:rPr>
              <w:t>4.</w:t>
            </w:r>
            <w:r>
              <w:rPr>
                <w:rFonts w:hint="eastAsia" w:eastAsia="仿宋_GB2312"/>
                <w:szCs w:val="21"/>
                <w:lang w:eastAsia="zh-CN"/>
              </w:rPr>
              <w:t>竞投人</w:t>
            </w:r>
            <w:r>
              <w:rPr>
                <w:rFonts w:hint="eastAsia" w:eastAsia="仿宋_GB2312"/>
                <w:szCs w:val="21"/>
              </w:rPr>
              <w:t>未出现以下情形：与其它</w:t>
            </w:r>
            <w:r>
              <w:rPr>
                <w:rFonts w:hint="eastAsia" w:eastAsia="仿宋_GB2312"/>
                <w:szCs w:val="21"/>
                <w:lang w:eastAsia="zh-CN"/>
              </w:rPr>
              <w:t>竞投人</w:t>
            </w:r>
            <w:r>
              <w:rPr>
                <w:rFonts w:hint="eastAsia" w:eastAsia="仿宋_GB2312"/>
                <w:szCs w:val="21"/>
              </w:rPr>
              <w:t>的单位负责人为同一人或者存在控股、管理关系的（按</w:t>
            </w:r>
            <w:r>
              <w:rPr>
                <w:rFonts w:hint="eastAsia" w:eastAsia="仿宋_GB2312"/>
                <w:szCs w:val="21"/>
                <w:lang w:eastAsia="zh-CN"/>
              </w:rPr>
              <w:t>竞投人</w:t>
            </w:r>
            <w:r>
              <w:rPr>
                <w:rFonts w:hint="eastAsia" w:eastAsia="仿宋_GB2312"/>
                <w:szCs w:val="21"/>
              </w:rPr>
              <w:t>提供的《响应函》第7条内容进行评审）。如不同响应申请人出现单位负责人为同一人或者存在控股、管理关系的情形，则相关响应均无效。</w:t>
            </w:r>
          </w:p>
          <w:p w14:paraId="569B6A59">
            <w:pPr>
              <w:spacing w:line="240" w:lineRule="atLeast"/>
              <w:jc w:val="left"/>
              <w:rPr>
                <w:rFonts w:hint="eastAsia" w:eastAsia="仿宋_GB2312"/>
                <w:szCs w:val="21"/>
              </w:rPr>
            </w:pPr>
            <w:r>
              <w:rPr>
                <w:rFonts w:hint="eastAsia" w:eastAsia="仿宋_GB2312"/>
                <w:szCs w:val="21"/>
                <w:lang w:val="en-US" w:eastAsia="zh-CN"/>
              </w:rPr>
              <w:t>5.</w:t>
            </w:r>
            <w:r>
              <w:rPr>
                <w:rFonts w:hint="eastAsia" w:eastAsia="仿宋_GB2312"/>
                <w:szCs w:val="21"/>
              </w:rPr>
              <w:t>本项目不接受联合体响应。</w:t>
            </w:r>
          </w:p>
        </w:tc>
      </w:tr>
      <w:tr w14:paraId="578C7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9BBF39F">
            <w:pPr>
              <w:spacing w:line="240" w:lineRule="atLeast"/>
              <w:jc w:val="center"/>
              <w:rPr>
                <w:rFonts w:hint="eastAsia" w:eastAsia="仿宋_GB2312"/>
                <w:szCs w:val="21"/>
                <w:lang w:eastAsia="zh-CN"/>
              </w:rPr>
            </w:pPr>
            <w:r>
              <w:rPr>
                <w:rFonts w:hint="eastAsia" w:eastAsia="仿宋_GB2312"/>
                <w:szCs w:val="21"/>
                <w:lang w:val="en-US" w:eastAsia="zh-CN"/>
              </w:rPr>
              <w:t>7</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3AEEE0E">
            <w:pPr>
              <w:spacing w:line="240" w:lineRule="atLeast"/>
              <w:jc w:val="center"/>
              <w:rPr>
                <w:rFonts w:hint="default" w:eastAsia="仿宋_GB2312"/>
                <w:szCs w:val="21"/>
                <w:lang w:val="en-US" w:eastAsia="zh-CN"/>
              </w:rPr>
            </w:pPr>
            <w:r>
              <w:rPr>
                <w:rFonts w:hint="eastAsia" w:eastAsia="仿宋_GB2312"/>
                <w:szCs w:val="21"/>
                <w:lang w:val="en-US" w:eastAsia="zh-CN"/>
              </w:rPr>
              <w:t>采购服务期限</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47998EC8">
            <w:pPr>
              <w:spacing w:line="240" w:lineRule="atLeast"/>
              <w:jc w:val="left"/>
              <w:rPr>
                <w:rFonts w:hint="default" w:eastAsia="仿宋_GB2312"/>
                <w:szCs w:val="21"/>
                <w:lang w:val="en-US" w:eastAsia="zh-CN"/>
              </w:rPr>
            </w:pPr>
            <w:r>
              <w:rPr>
                <w:rFonts w:hint="default" w:eastAsia="仿宋_GB2312"/>
                <w:szCs w:val="21"/>
                <w:lang w:val="en-US" w:eastAsia="zh-CN"/>
              </w:rPr>
              <w:t>至全部委托事项办结(如涉及执行阶段，则执行阶段至执行法院首次裁定终结执行程序视为办结)</w:t>
            </w:r>
          </w:p>
        </w:tc>
      </w:tr>
      <w:tr w14:paraId="7E3D1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5AF9D53">
            <w:pPr>
              <w:spacing w:line="240" w:lineRule="atLeast"/>
              <w:jc w:val="center"/>
              <w:rPr>
                <w:rFonts w:hint="eastAsia" w:eastAsia="仿宋_GB2312"/>
                <w:szCs w:val="21"/>
                <w:lang w:eastAsia="zh-CN"/>
              </w:rPr>
            </w:pPr>
            <w:r>
              <w:rPr>
                <w:rFonts w:hint="eastAsia" w:eastAsia="仿宋_GB2312"/>
                <w:szCs w:val="21"/>
                <w:lang w:val="en-US" w:eastAsia="zh-CN"/>
              </w:rPr>
              <w:t>8</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EFD4D73">
            <w:pPr>
              <w:spacing w:line="240" w:lineRule="atLeast"/>
              <w:jc w:val="center"/>
              <w:rPr>
                <w:rFonts w:hint="eastAsia" w:eastAsia="仿宋_GB2312"/>
                <w:szCs w:val="21"/>
              </w:rPr>
            </w:pPr>
            <w:r>
              <w:rPr>
                <w:rFonts w:hint="eastAsia" w:eastAsia="仿宋_GB2312"/>
                <w:szCs w:val="21"/>
              </w:rPr>
              <w:t>承包方式</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68EB21EA">
            <w:pPr>
              <w:spacing w:line="240" w:lineRule="atLeast"/>
              <w:jc w:val="left"/>
              <w:rPr>
                <w:rFonts w:hint="eastAsia" w:eastAsia="仿宋_GB2312"/>
                <w:szCs w:val="21"/>
                <w:lang w:val="en-US" w:eastAsia="zh-CN"/>
              </w:rPr>
            </w:pPr>
            <w:r>
              <w:rPr>
                <w:rFonts w:hint="eastAsia" w:eastAsia="仿宋_GB2312"/>
                <w:szCs w:val="21"/>
                <w:lang w:val="en-US" w:eastAsia="zh-CN"/>
              </w:rPr>
              <w:t>总价包干形式</w:t>
            </w:r>
          </w:p>
        </w:tc>
      </w:tr>
      <w:tr w14:paraId="2E008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D2E2FAA">
            <w:pPr>
              <w:spacing w:line="240" w:lineRule="atLeast"/>
              <w:jc w:val="center"/>
              <w:rPr>
                <w:rFonts w:hint="default" w:eastAsia="仿宋_GB2312"/>
                <w:szCs w:val="21"/>
                <w:lang w:val="en-US" w:eastAsia="zh-CN"/>
              </w:rPr>
            </w:pPr>
            <w:r>
              <w:rPr>
                <w:rFonts w:hint="eastAsia" w:eastAsia="仿宋_GB2312"/>
                <w:szCs w:val="21"/>
                <w:lang w:val="en-US" w:eastAsia="zh-CN"/>
              </w:rPr>
              <w:t>9</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60B252B">
            <w:pPr>
              <w:spacing w:line="240" w:lineRule="atLeast"/>
              <w:jc w:val="center"/>
              <w:rPr>
                <w:rFonts w:hint="default" w:eastAsia="仿宋_GB2312"/>
                <w:szCs w:val="21"/>
                <w:lang w:val="en-US" w:eastAsia="zh-CN"/>
              </w:rPr>
            </w:pPr>
            <w:r>
              <w:rPr>
                <w:rFonts w:hint="eastAsia" w:eastAsia="仿宋_GB2312"/>
                <w:szCs w:val="21"/>
                <w:lang w:val="en-US" w:eastAsia="zh-CN"/>
              </w:rPr>
              <w:t>质量标准</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32AAC486">
            <w:pPr>
              <w:spacing w:line="240" w:lineRule="atLeast"/>
              <w:jc w:val="left"/>
              <w:rPr>
                <w:rFonts w:hint="eastAsia" w:eastAsia="仿宋_GB2312"/>
                <w:szCs w:val="21"/>
                <w:lang w:val="en-US" w:eastAsia="zh-CN"/>
              </w:rPr>
            </w:pPr>
            <w:r>
              <w:rPr>
                <w:rFonts w:hint="eastAsia" w:eastAsia="仿宋_GB2312"/>
                <w:szCs w:val="21"/>
                <w:lang w:val="en-US" w:eastAsia="zh-CN"/>
              </w:rPr>
              <w:t>合格</w:t>
            </w:r>
          </w:p>
        </w:tc>
      </w:tr>
      <w:tr w14:paraId="63B87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EB5B474">
            <w:pPr>
              <w:spacing w:line="240" w:lineRule="atLeast"/>
              <w:jc w:val="center"/>
              <w:rPr>
                <w:rFonts w:hint="default" w:eastAsia="仿宋_GB2312"/>
                <w:szCs w:val="21"/>
                <w:lang w:val="en-US" w:eastAsia="zh-CN"/>
              </w:rPr>
            </w:pPr>
            <w:r>
              <w:rPr>
                <w:rFonts w:hint="eastAsia" w:eastAsia="仿宋_GB2312"/>
                <w:szCs w:val="21"/>
                <w:lang w:val="en-US" w:eastAsia="zh-CN"/>
              </w:rPr>
              <w:t>10</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9FA515B">
            <w:pPr>
              <w:spacing w:line="240" w:lineRule="atLeast"/>
              <w:jc w:val="center"/>
              <w:rPr>
                <w:rFonts w:hint="eastAsia" w:eastAsia="仿宋_GB2312"/>
                <w:szCs w:val="21"/>
              </w:rPr>
            </w:pPr>
            <w:r>
              <w:rPr>
                <w:rFonts w:hint="eastAsia" w:eastAsia="仿宋_GB2312"/>
                <w:szCs w:val="21"/>
              </w:rPr>
              <w:t>报价方式</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6C4C37BB">
            <w:pPr>
              <w:spacing w:line="240" w:lineRule="atLeast"/>
              <w:jc w:val="left"/>
              <w:rPr>
                <w:rFonts w:hint="eastAsia" w:eastAsia="仿宋_GB2312"/>
                <w:szCs w:val="21"/>
              </w:rPr>
            </w:pPr>
            <w:r>
              <w:rPr>
                <w:rFonts w:hint="eastAsia" w:eastAsia="仿宋_GB2312"/>
                <w:szCs w:val="21"/>
              </w:rPr>
              <w:t xml:space="preserve">根据采购人要求的报价格式，进行密封报价，不得超过采购人设定的限价标准； </w:t>
            </w:r>
          </w:p>
        </w:tc>
      </w:tr>
      <w:tr w14:paraId="08A48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6735674">
            <w:pPr>
              <w:spacing w:line="240" w:lineRule="atLeast"/>
              <w:jc w:val="center"/>
              <w:rPr>
                <w:rFonts w:hint="default" w:eastAsia="仿宋_GB2312"/>
                <w:szCs w:val="21"/>
                <w:lang w:val="en-US" w:eastAsia="zh-CN"/>
              </w:rPr>
            </w:pPr>
            <w:r>
              <w:rPr>
                <w:rFonts w:hint="eastAsia" w:eastAsia="仿宋_GB2312"/>
                <w:szCs w:val="21"/>
                <w:lang w:val="en-US" w:eastAsia="zh-CN"/>
              </w:rPr>
              <w:t>11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52BE4E88">
            <w:pPr>
              <w:spacing w:line="240" w:lineRule="atLeast"/>
              <w:jc w:val="center"/>
              <w:rPr>
                <w:rFonts w:hint="eastAsia" w:eastAsia="仿宋_GB2312"/>
                <w:szCs w:val="21"/>
              </w:rPr>
            </w:pPr>
            <w:r>
              <w:rPr>
                <w:rFonts w:hint="eastAsia" w:eastAsia="仿宋_GB2312"/>
                <w:szCs w:val="21"/>
              </w:rPr>
              <w:t>最高</w:t>
            </w:r>
            <w:r>
              <w:rPr>
                <w:rFonts w:hint="eastAsia" w:eastAsia="仿宋_GB2312"/>
                <w:szCs w:val="21"/>
                <w:lang w:val="en-US" w:eastAsia="zh-CN"/>
              </w:rPr>
              <w:t>含税</w:t>
            </w:r>
            <w:r>
              <w:rPr>
                <w:rFonts w:hint="eastAsia" w:eastAsia="仿宋_GB2312"/>
                <w:szCs w:val="21"/>
              </w:rPr>
              <w:t>限价</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1597A9F7">
            <w:pPr>
              <w:spacing w:line="240" w:lineRule="atLeast"/>
              <w:jc w:val="left"/>
              <w:rPr>
                <w:rFonts w:hint="eastAsia" w:eastAsia="仿宋_GB2312"/>
                <w:szCs w:val="21"/>
              </w:rPr>
            </w:pPr>
            <w:r>
              <w:rPr>
                <w:rFonts w:hint="eastAsia" w:eastAsia="仿宋_GB2312"/>
                <w:szCs w:val="21"/>
                <w:highlight w:val="none"/>
                <w:lang w:val="en-US" w:eastAsia="zh-CN"/>
              </w:rPr>
              <w:t>155,000</w:t>
            </w:r>
            <w:r>
              <w:rPr>
                <w:rFonts w:hint="eastAsia" w:eastAsia="仿宋_GB2312"/>
                <w:szCs w:val="21"/>
                <w:highlight w:val="none"/>
              </w:rPr>
              <w:t>元，</w:t>
            </w:r>
            <w:r>
              <w:rPr>
                <w:rFonts w:hint="eastAsia" w:eastAsia="仿宋_GB2312"/>
                <w:szCs w:val="21"/>
              </w:rPr>
              <w:t>高于限价的报价无效；</w:t>
            </w:r>
          </w:p>
        </w:tc>
      </w:tr>
      <w:tr w14:paraId="22B87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FCD651A">
            <w:pPr>
              <w:spacing w:line="240" w:lineRule="atLeast"/>
              <w:jc w:val="center"/>
              <w:rPr>
                <w:rFonts w:hint="eastAsia" w:ascii="仿宋" w:hAnsi="仿宋" w:eastAsia="仿宋_GB2312" w:cs="仿宋"/>
                <w:szCs w:val="21"/>
                <w:lang w:eastAsia="zh-CN"/>
              </w:rPr>
            </w:pPr>
            <w:r>
              <w:rPr>
                <w:rFonts w:eastAsia="仿宋_GB2312"/>
                <w:szCs w:val="21"/>
              </w:rPr>
              <w:t>1</w:t>
            </w:r>
            <w:r>
              <w:rPr>
                <w:rFonts w:hint="eastAsia" w:eastAsia="仿宋_GB2312"/>
                <w:szCs w:val="21"/>
                <w:lang w:val="en-US" w:eastAsia="zh-CN"/>
              </w:rPr>
              <w:t>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5E91D51">
            <w:pPr>
              <w:spacing w:line="240" w:lineRule="atLeast"/>
              <w:jc w:val="center"/>
              <w:rPr>
                <w:rFonts w:hint="eastAsia" w:ascii="仿宋" w:hAnsi="仿宋" w:eastAsia="仿宋" w:cs="仿宋"/>
                <w:szCs w:val="21"/>
              </w:rPr>
            </w:pPr>
            <w:r>
              <w:rPr>
                <w:rFonts w:eastAsia="仿宋_GB2312"/>
                <w:szCs w:val="21"/>
              </w:rPr>
              <w:t>评审方式</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51D5EE6C">
            <w:pPr>
              <w:spacing w:line="240" w:lineRule="atLeast"/>
              <w:rPr>
                <w:rFonts w:hint="eastAsia" w:ascii="仿宋" w:hAnsi="仿宋" w:eastAsia="仿宋" w:cs="仿宋"/>
                <w:szCs w:val="21"/>
              </w:rPr>
            </w:pPr>
            <w:r>
              <w:rPr>
                <w:rFonts w:eastAsia="仿宋_GB2312"/>
                <w:szCs w:val="21"/>
              </w:rPr>
              <w:t>综合评分</w:t>
            </w:r>
          </w:p>
        </w:tc>
      </w:tr>
      <w:tr w14:paraId="4E2E5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3CA2E2C">
            <w:pPr>
              <w:spacing w:line="240" w:lineRule="atLeast"/>
              <w:jc w:val="center"/>
              <w:rPr>
                <w:rFonts w:hint="eastAsia" w:ascii="仿宋" w:hAnsi="仿宋" w:eastAsia="仿宋_GB2312" w:cs="仿宋"/>
                <w:szCs w:val="21"/>
                <w:lang w:eastAsia="zh-CN"/>
              </w:rPr>
            </w:pPr>
            <w:r>
              <w:rPr>
                <w:rFonts w:eastAsia="仿宋_GB2312"/>
                <w:szCs w:val="21"/>
              </w:rPr>
              <w:t>1</w:t>
            </w:r>
            <w:r>
              <w:rPr>
                <w:rFonts w:hint="eastAsia" w:eastAsia="仿宋_GB2312"/>
                <w:szCs w:val="21"/>
                <w:lang w:val="en-US" w:eastAsia="zh-CN"/>
              </w:rPr>
              <w:t>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293EDFF">
            <w:pPr>
              <w:spacing w:line="240" w:lineRule="atLeast"/>
              <w:jc w:val="center"/>
              <w:rPr>
                <w:rFonts w:eastAsia="仿宋_GB2312"/>
                <w:szCs w:val="21"/>
              </w:rPr>
            </w:pPr>
            <w:r>
              <w:rPr>
                <w:rFonts w:hint="eastAsia" w:eastAsia="仿宋_GB2312"/>
                <w:szCs w:val="21"/>
                <w:lang w:val="en-US" w:eastAsia="zh-CN"/>
              </w:rPr>
              <w:t>响应</w:t>
            </w:r>
            <w:r>
              <w:rPr>
                <w:rFonts w:eastAsia="仿宋_GB2312"/>
                <w:szCs w:val="21"/>
              </w:rPr>
              <w:t>文件编制</w:t>
            </w:r>
          </w:p>
          <w:p w14:paraId="2C85E47B">
            <w:pPr>
              <w:spacing w:line="240" w:lineRule="atLeast"/>
              <w:jc w:val="center"/>
              <w:rPr>
                <w:rFonts w:hint="eastAsia" w:ascii="仿宋" w:hAnsi="仿宋" w:eastAsia="仿宋" w:cs="仿宋"/>
                <w:szCs w:val="21"/>
              </w:rPr>
            </w:pPr>
            <w:r>
              <w:rPr>
                <w:rFonts w:eastAsia="仿宋_GB2312"/>
                <w:szCs w:val="21"/>
              </w:rPr>
              <w:t>要求</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48BA4C86">
            <w:pPr>
              <w:spacing w:line="240" w:lineRule="atLeast"/>
              <w:rPr>
                <w:rFonts w:hint="eastAsia" w:eastAsia="仿宋_GB2312"/>
                <w:szCs w:val="21"/>
              </w:rPr>
            </w:pPr>
            <w:r>
              <w:rPr>
                <w:rFonts w:hint="eastAsia" w:eastAsia="仿宋_GB2312"/>
                <w:szCs w:val="21"/>
              </w:rPr>
              <w:t xml:space="preserve">1. </w:t>
            </w:r>
            <w:r>
              <w:rPr>
                <w:rFonts w:hint="eastAsia" w:eastAsia="仿宋_GB2312"/>
                <w:szCs w:val="21"/>
                <w:lang w:eastAsia="zh-CN"/>
              </w:rPr>
              <w:t>竞投人</w:t>
            </w:r>
            <w:r>
              <w:rPr>
                <w:rFonts w:hint="eastAsia" w:eastAsia="仿宋_GB2312"/>
                <w:szCs w:val="21"/>
              </w:rPr>
              <w:t>应按采购文件的要求制作并递交响应文件，并保证所提供的全部资料的真实性、准确性；</w:t>
            </w:r>
          </w:p>
          <w:p w14:paraId="1B862E8A">
            <w:pPr>
              <w:spacing w:line="240" w:lineRule="atLeast"/>
              <w:rPr>
                <w:rFonts w:hint="eastAsia" w:eastAsia="仿宋_GB2312"/>
                <w:szCs w:val="21"/>
              </w:rPr>
            </w:pPr>
            <w:r>
              <w:rPr>
                <w:rFonts w:hint="eastAsia" w:eastAsia="仿宋_GB2312"/>
                <w:szCs w:val="21"/>
              </w:rPr>
              <w:t>2.响应文件和来往函件应用简体中文书写，计量单位应使用国际公制单位。</w:t>
            </w:r>
          </w:p>
          <w:p w14:paraId="036AD728">
            <w:pPr>
              <w:spacing w:line="240" w:lineRule="atLeast"/>
              <w:rPr>
                <w:rFonts w:hint="eastAsia" w:ascii="仿宋" w:hAnsi="仿宋" w:eastAsia="仿宋" w:cs="仿宋"/>
                <w:szCs w:val="21"/>
              </w:rPr>
            </w:pPr>
            <w:r>
              <w:rPr>
                <w:rFonts w:hint="eastAsia" w:eastAsia="仿宋_GB2312"/>
                <w:szCs w:val="21"/>
              </w:rPr>
              <w:t xml:space="preserve">3. </w:t>
            </w:r>
            <w:r>
              <w:rPr>
                <w:rFonts w:hint="eastAsia" w:eastAsia="仿宋_GB2312"/>
                <w:szCs w:val="21"/>
                <w:lang w:eastAsia="zh-CN"/>
              </w:rPr>
              <w:t>竞投人</w:t>
            </w:r>
            <w:r>
              <w:rPr>
                <w:rFonts w:hint="eastAsia" w:eastAsia="仿宋_GB2312"/>
                <w:szCs w:val="21"/>
              </w:rPr>
              <w:t>须用人民币作为报价的货币单位。响应文件的大写金额和小写金额不一致的，以大写金额为准；总价金额与按单价汇总金额不一致的，以单价金额计算结果为准；单价金额小数点有明显错位的，应以总价为准，并修改单价。</w:t>
            </w:r>
          </w:p>
        </w:tc>
      </w:tr>
      <w:tr w14:paraId="421F1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2616700">
            <w:pPr>
              <w:spacing w:line="240" w:lineRule="atLeast"/>
              <w:jc w:val="center"/>
              <w:rPr>
                <w:rFonts w:hint="eastAsia" w:ascii="仿宋" w:hAnsi="仿宋" w:eastAsia="仿宋_GB2312" w:cs="仿宋"/>
                <w:szCs w:val="21"/>
                <w:lang w:eastAsia="zh-CN"/>
              </w:rPr>
            </w:pPr>
            <w:r>
              <w:rPr>
                <w:rFonts w:eastAsia="仿宋_GB2312"/>
                <w:szCs w:val="21"/>
              </w:rPr>
              <w:t>1</w:t>
            </w:r>
            <w:r>
              <w:rPr>
                <w:rFonts w:hint="eastAsia" w:eastAsia="仿宋_GB2312"/>
                <w:szCs w:val="21"/>
                <w:lang w:val="en-US" w:eastAsia="zh-CN"/>
              </w:rPr>
              <w:t>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F7B2395">
            <w:pPr>
              <w:spacing w:line="240" w:lineRule="atLeast"/>
              <w:jc w:val="center"/>
              <w:rPr>
                <w:rFonts w:hint="eastAsia" w:ascii="仿宋" w:hAnsi="仿宋" w:eastAsia="仿宋" w:cs="仿宋"/>
                <w:szCs w:val="21"/>
              </w:rPr>
            </w:pPr>
            <w:r>
              <w:rPr>
                <w:rFonts w:hint="eastAsia" w:eastAsia="仿宋_GB2312"/>
                <w:bCs/>
                <w:szCs w:val="21"/>
                <w:lang w:val="en-US" w:eastAsia="zh-CN"/>
              </w:rPr>
              <w:t>响应</w:t>
            </w:r>
            <w:r>
              <w:rPr>
                <w:rFonts w:eastAsia="仿宋_GB2312"/>
                <w:bCs/>
                <w:szCs w:val="21"/>
              </w:rPr>
              <w:t>文件的组成</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35B425C0">
            <w:pPr>
              <w:spacing w:line="240" w:lineRule="atLeast"/>
              <w:rPr>
                <w:rFonts w:hint="eastAsia" w:eastAsia="仿宋_GB2312"/>
                <w:szCs w:val="21"/>
              </w:rPr>
            </w:pPr>
            <w:r>
              <w:rPr>
                <w:rFonts w:hint="eastAsia" w:eastAsia="仿宋_GB2312"/>
                <w:szCs w:val="21"/>
              </w:rPr>
              <w:t>1.响应函（盖章）；</w:t>
            </w:r>
          </w:p>
          <w:p w14:paraId="5C02BAF8">
            <w:pPr>
              <w:spacing w:line="240" w:lineRule="atLeast"/>
              <w:rPr>
                <w:rFonts w:hint="eastAsia" w:eastAsia="仿宋_GB2312"/>
                <w:szCs w:val="21"/>
              </w:rPr>
            </w:pPr>
            <w:r>
              <w:rPr>
                <w:rFonts w:hint="eastAsia" w:eastAsia="仿宋_GB2312"/>
                <w:szCs w:val="21"/>
              </w:rPr>
              <w:t>2.法定代表人（或负责人）证明及授权书（盖章）；</w:t>
            </w:r>
          </w:p>
          <w:p w14:paraId="036CBEBF">
            <w:pPr>
              <w:spacing w:line="240" w:lineRule="atLeast"/>
              <w:rPr>
                <w:rFonts w:hint="eastAsia" w:eastAsia="仿宋_GB2312"/>
                <w:szCs w:val="21"/>
              </w:rPr>
            </w:pPr>
            <w:r>
              <w:rPr>
                <w:rFonts w:hint="eastAsia" w:eastAsia="仿宋_GB2312"/>
                <w:szCs w:val="21"/>
              </w:rPr>
              <w:t>3.法定代表人（或负责人）及被授权人身份证复印件（盖章）；</w:t>
            </w:r>
          </w:p>
          <w:p w14:paraId="716DE6C3">
            <w:pPr>
              <w:spacing w:line="240" w:lineRule="atLeast"/>
              <w:rPr>
                <w:rFonts w:hint="eastAsia" w:eastAsia="仿宋_GB2312"/>
                <w:szCs w:val="21"/>
              </w:rPr>
            </w:pPr>
            <w:r>
              <w:rPr>
                <w:rFonts w:hint="eastAsia" w:eastAsia="仿宋_GB2312"/>
                <w:szCs w:val="21"/>
              </w:rPr>
              <w:t>4.报价表（盖章）；</w:t>
            </w:r>
          </w:p>
          <w:p w14:paraId="13BE5498">
            <w:pPr>
              <w:spacing w:line="240" w:lineRule="atLeast"/>
              <w:rPr>
                <w:rFonts w:hint="eastAsia" w:eastAsia="仿宋_GB2312"/>
                <w:szCs w:val="21"/>
              </w:rPr>
            </w:pPr>
            <w:r>
              <w:rPr>
                <w:rFonts w:hint="eastAsia" w:eastAsia="仿宋_GB2312"/>
                <w:szCs w:val="21"/>
              </w:rPr>
              <w:t>5.</w:t>
            </w:r>
            <w:r>
              <w:rPr>
                <w:rFonts w:hint="eastAsia" w:eastAsia="仿宋_GB2312"/>
                <w:szCs w:val="21"/>
                <w:lang w:val="en-US" w:eastAsia="zh-CN"/>
              </w:rPr>
              <w:t>服务方案（盖章）</w:t>
            </w:r>
            <w:r>
              <w:rPr>
                <w:rFonts w:hint="eastAsia" w:eastAsia="仿宋_GB2312"/>
                <w:szCs w:val="21"/>
              </w:rPr>
              <w:t>；</w:t>
            </w:r>
          </w:p>
          <w:p w14:paraId="276D9352">
            <w:pPr>
              <w:spacing w:line="240" w:lineRule="atLeast"/>
              <w:rPr>
                <w:rFonts w:hint="eastAsia" w:eastAsia="仿宋_GB2312"/>
                <w:szCs w:val="21"/>
              </w:rPr>
            </w:pPr>
            <w:r>
              <w:rPr>
                <w:rFonts w:hint="eastAsia" w:eastAsia="仿宋_GB2312"/>
                <w:szCs w:val="21"/>
              </w:rPr>
              <w:t>6.资格及响应性审查相关证明资料；</w:t>
            </w:r>
          </w:p>
          <w:p w14:paraId="3F285C82">
            <w:pPr>
              <w:spacing w:line="240" w:lineRule="atLeast"/>
              <w:rPr>
                <w:rFonts w:hint="eastAsia" w:ascii="仿宋" w:hAnsi="仿宋" w:eastAsia="仿宋" w:cs="仿宋"/>
                <w:szCs w:val="21"/>
              </w:rPr>
            </w:pPr>
            <w:r>
              <w:rPr>
                <w:rFonts w:hint="eastAsia" w:eastAsia="仿宋_GB2312"/>
                <w:szCs w:val="21"/>
              </w:rPr>
              <w:t>7.</w:t>
            </w:r>
            <w:r>
              <w:rPr>
                <w:rFonts w:hint="eastAsia" w:eastAsia="仿宋_GB2312"/>
                <w:szCs w:val="21"/>
                <w:lang w:eastAsia="zh-CN"/>
              </w:rPr>
              <w:t>竞投人</w:t>
            </w:r>
            <w:r>
              <w:rPr>
                <w:rFonts w:hint="eastAsia" w:eastAsia="仿宋_GB2312"/>
                <w:szCs w:val="21"/>
              </w:rPr>
              <w:t>认为须提交与评审内容相关的其他资料。</w:t>
            </w:r>
          </w:p>
        </w:tc>
      </w:tr>
      <w:tr w14:paraId="505B4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077D059">
            <w:pPr>
              <w:spacing w:line="240" w:lineRule="atLeast"/>
              <w:jc w:val="center"/>
              <w:rPr>
                <w:rFonts w:hint="eastAsia" w:ascii="仿宋" w:hAnsi="仿宋" w:eastAsia="仿宋_GB2312" w:cs="仿宋"/>
                <w:szCs w:val="21"/>
                <w:lang w:eastAsia="zh-CN"/>
              </w:rPr>
            </w:pPr>
            <w:r>
              <w:rPr>
                <w:rFonts w:eastAsia="仿宋_GB2312"/>
                <w:szCs w:val="21"/>
              </w:rPr>
              <w:t>1</w:t>
            </w:r>
            <w:r>
              <w:rPr>
                <w:rFonts w:hint="eastAsia" w:eastAsia="仿宋_GB2312"/>
                <w:szCs w:val="21"/>
                <w:lang w:val="en-US" w:eastAsia="zh-CN"/>
              </w:rPr>
              <w:t>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6F3BC275">
            <w:pPr>
              <w:spacing w:line="240" w:lineRule="atLeast"/>
              <w:jc w:val="center"/>
              <w:rPr>
                <w:rFonts w:hint="eastAsia" w:ascii="仿宋" w:hAnsi="仿宋" w:eastAsia="仿宋" w:cs="仿宋"/>
                <w:szCs w:val="21"/>
              </w:rPr>
            </w:pPr>
            <w:r>
              <w:rPr>
                <w:rFonts w:hint="eastAsia" w:eastAsia="仿宋_GB2312"/>
                <w:szCs w:val="21"/>
                <w:lang w:val="en-US" w:eastAsia="zh-CN"/>
              </w:rPr>
              <w:t>响应</w:t>
            </w:r>
            <w:r>
              <w:rPr>
                <w:rFonts w:eastAsia="仿宋_GB2312"/>
                <w:szCs w:val="21"/>
              </w:rPr>
              <w:t>文件份数</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678BC573">
            <w:pPr>
              <w:spacing w:line="240" w:lineRule="atLeast"/>
              <w:rPr>
                <w:rFonts w:hint="default" w:ascii="仿宋" w:hAnsi="仿宋" w:eastAsia="仿宋" w:cs="仿宋"/>
                <w:szCs w:val="21"/>
                <w:lang w:val="en-US" w:eastAsia="zh-CN"/>
              </w:rPr>
            </w:pPr>
            <w:r>
              <w:rPr>
                <w:rFonts w:hint="eastAsia" w:eastAsia="仿宋_GB2312"/>
                <w:szCs w:val="21"/>
              </w:rPr>
              <w:t>正本壹份，副本贰份；所有响应文件应用A4规格纸打印，并装订成</w:t>
            </w:r>
            <w:r>
              <w:rPr>
                <w:rFonts w:hint="eastAsia" w:eastAsia="仿宋_GB2312"/>
                <w:szCs w:val="21"/>
                <w:lang w:val="en-US" w:eastAsia="zh-CN"/>
              </w:rPr>
              <w:t>册。</w:t>
            </w:r>
            <w:r>
              <w:rPr>
                <w:rFonts w:hint="eastAsia" w:eastAsia="仿宋_GB2312"/>
                <w:szCs w:val="21"/>
              </w:rPr>
              <w:t>响应文件于封面注明“正本”和“副本”。如果正本与副本不符，应以正本为准。</w:t>
            </w:r>
          </w:p>
        </w:tc>
      </w:tr>
      <w:tr w14:paraId="0FCFC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83B4049">
            <w:pPr>
              <w:spacing w:line="240" w:lineRule="atLeast"/>
              <w:jc w:val="center"/>
              <w:rPr>
                <w:rFonts w:hint="eastAsia" w:ascii="仿宋" w:hAnsi="仿宋" w:eastAsia="仿宋_GB2312" w:cs="仿宋"/>
                <w:szCs w:val="21"/>
                <w:lang w:eastAsia="zh-CN"/>
              </w:rPr>
            </w:pPr>
            <w:r>
              <w:rPr>
                <w:rFonts w:eastAsia="仿宋_GB2312"/>
                <w:szCs w:val="21"/>
              </w:rPr>
              <w:t>1</w:t>
            </w:r>
            <w:r>
              <w:rPr>
                <w:rFonts w:hint="eastAsia" w:eastAsia="仿宋_GB2312"/>
                <w:szCs w:val="21"/>
                <w:lang w:val="en-US" w:eastAsia="zh-CN"/>
              </w:rPr>
              <w:t>6</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AB00560">
            <w:pPr>
              <w:spacing w:line="240" w:lineRule="atLeast"/>
              <w:jc w:val="center"/>
              <w:rPr>
                <w:rFonts w:hint="eastAsia" w:ascii="仿宋" w:hAnsi="仿宋" w:eastAsia="仿宋" w:cs="仿宋"/>
                <w:szCs w:val="21"/>
              </w:rPr>
            </w:pPr>
            <w:r>
              <w:rPr>
                <w:rFonts w:hint="eastAsia" w:eastAsia="仿宋_GB2312"/>
                <w:szCs w:val="21"/>
                <w:lang w:val="en-US" w:eastAsia="zh-CN"/>
              </w:rPr>
              <w:t>响应</w:t>
            </w:r>
            <w:r>
              <w:rPr>
                <w:rFonts w:eastAsia="仿宋_GB2312"/>
                <w:szCs w:val="21"/>
              </w:rPr>
              <w:t>文件递交时间及截止时间</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1A905D8E">
            <w:pPr>
              <w:spacing w:line="240" w:lineRule="atLeast"/>
              <w:rPr>
                <w:rFonts w:hint="eastAsia" w:ascii="仿宋" w:hAnsi="仿宋" w:eastAsia="仿宋" w:cs="仿宋"/>
                <w:szCs w:val="21"/>
              </w:rPr>
            </w:pPr>
            <w:r>
              <w:rPr>
                <w:rFonts w:hint="eastAsia" w:eastAsia="仿宋_GB2312"/>
                <w:szCs w:val="21"/>
                <w:lang w:val="en-US" w:eastAsia="zh-CN"/>
              </w:rPr>
              <w:t>响应</w:t>
            </w:r>
            <w:r>
              <w:rPr>
                <w:rFonts w:eastAsia="仿宋_GB2312"/>
                <w:szCs w:val="21"/>
              </w:rPr>
              <w:t>文件递交受理时间为</w:t>
            </w:r>
            <w:r>
              <w:rPr>
                <w:rFonts w:hint="eastAsia" w:eastAsia="仿宋_GB2312"/>
                <w:szCs w:val="21"/>
                <w:highlight w:val="none"/>
              </w:rPr>
              <w:t>2026年0</w:t>
            </w:r>
            <w:r>
              <w:rPr>
                <w:rFonts w:hint="eastAsia" w:eastAsia="仿宋_GB2312"/>
                <w:szCs w:val="21"/>
                <w:highlight w:val="none"/>
                <w:lang w:val="en-US" w:eastAsia="zh-CN"/>
              </w:rPr>
              <w:t>7</w:t>
            </w:r>
            <w:r>
              <w:rPr>
                <w:rFonts w:hint="eastAsia" w:eastAsia="仿宋_GB2312"/>
                <w:szCs w:val="21"/>
                <w:highlight w:val="none"/>
              </w:rPr>
              <w:t>月</w:t>
            </w:r>
            <w:r>
              <w:rPr>
                <w:rFonts w:hint="eastAsia" w:eastAsia="仿宋_GB2312"/>
                <w:szCs w:val="21"/>
                <w:highlight w:val="none"/>
                <w:lang w:val="en-US" w:eastAsia="zh-CN"/>
              </w:rPr>
              <w:t>03</w:t>
            </w:r>
            <w:r>
              <w:rPr>
                <w:rFonts w:hint="eastAsia" w:eastAsia="仿宋_GB2312"/>
                <w:szCs w:val="21"/>
                <w:highlight w:val="none"/>
              </w:rPr>
              <w:t>日9:</w:t>
            </w:r>
            <w:r>
              <w:rPr>
                <w:rFonts w:hint="eastAsia" w:eastAsia="仿宋_GB2312"/>
                <w:szCs w:val="21"/>
                <w:highlight w:val="none"/>
                <w:lang w:val="en-US" w:eastAsia="zh-CN"/>
              </w:rPr>
              <w:t>0</w:t>
            </w:r>
            <w:r>
              <w:rPr>
                <w:rFonts w:hint="eastAsia" w:eastAsia="仿宋_GB2312"/>
                <w:szCs w:val="21"/>
                <w:highlight w:val="none"/>
              </w:rPr>
              <w:t>0—10:</w:t>
            </w:r>
            <w:r>
              <w:rPr>
                <w:rFonts w:hint="eastAsia" w:eastAsia="仿宋_GB2312"/>
                <w:szCs w:val="21"/>
                <w:highlight w:val="none"/>
                <w:lang w:val="en-US" w:eastAsia="zh-CN"/>
              </w:rPr>
              <w:t>0</w:t>
            </w:r>
            <w:r>
              <w:rPr>
                <w:rFonts w:hint="eastAsia" w:eastAsia="仿宋_GB2312"/>
                <w:szCs w:val="21"/>
                <w:highlight w:val="none"/>
              </w:rPr>
              <w:t>0</w:t>
            </w:r>
            <w:r>
              <w:rPr>
                <w:rFonts w:eastAsia="仿宋_GB2312"/>
                <w:szCs w:val="21"/>
                <w:highlight w:val="none"/>
              </w:rPr>
              <w:t>；</w:t>
            </w:r>
            <w:r>
              <w:rPr>
                <w:rFonts w:eastAsia="仿宋_GB2312"/>
                <w:szCs w:val="21"/>
              </w:rPr>
              <w:t>逾期不予受理。</w:t>
            </w:r>
          </w:p>
        </w:tc>
      </w:tr>
      <w:tr w14:paraId="046A5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93CF60E">
            <w:pPr>
              <w:spacing w:line="240" w:lineRule="atLeast"/>
              <w:jc w:val="center"/>
              <w:rPr>
                <w:rFonts w:hint="eastAsia" w:ascii="仿宋" w:hAnsi="仿宋" w:eastAsia="仿宋_GB2312" w:cs="仿宋"/>
                <w:szCs w:val="21"/>
                <w:lang w:eastAsia="zh-CN"/>
              </w:rPr>
            </w:pPr>
            <w:r>
              <w:rPr>
                <w:rFonts w:eastAsia="仿宋_GB2312"/>
                <w:szCs w:val="21"/>
              </w:rPr>
              <w:t>1</w:t>
            </w:r>
            <w:r>
              <w:rPr>
                <w:rFonts w:hint="eastAsia" w:eastAsia="仿宋_GB2312"/>
                <w:szCs w:val="21"/>
                <w:lang w:val="en-US" w:eastAsia="zh-CN"/>
              </w:rPr>
              <w:t>7</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9847CD9">
            <w:pPr>
              <w:spacing w:line="240" w:lineRule="atLeast"/>
              <w:jc w:val="center"/>
              <w:rPr>
                <w:rFonts w:hint="eastAsia" w:ascii="仿宋" w:hAnsi="仿宋" w:eastAsia="仿宋" w:cs="仿宋"/>
                <w:szCs w:val="21"/>
              </w:rPr>
            </w:pPr>
            <w:r>
              <w:rPr>
                <w:rFonts w:eastAsia="仿宋_GB2312"/>
                <w:szCs w:val="21"/>
              </w:rPr>
              <w:t>有效期</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02565F51">
            <w:pPr>
              <w:spacing w:line="360" w:lineRule="auto"/>
              <w:rPr>
                <w:rFonts w:hint="eastAsia" w:ascii="仿宋" w:hAnsi="仿宋" w:eastAsia="仿宋" w:cs="仿宋"/>
                <w:szCs w:val="21"/>
              </w:rPr>
            </w:pPr>
            <w:r>
              <w:rPr>
                <w:rFonts w:eastAsia="仿宋_GB2312"/>
                <w:szCs w:val="21"/>
              </w:rPr>
              <w:t>从</w:t>
            </w:r>
            <w:r>
              <w:rPr>
                <w:rFonts w:hint="eastAsia" w:eastAsia="仿宋_GB2312"/>
                <w:szCs w:val="21"/>
                <w:lang w:val="en-US" w:eastAsia="zh-CN"/>
              </w:rPr>
              <w:t>响应文件递交</w:t>
            </w:r>
            <w:r>
              <w:rPr>
                <w:rFonts w:eastAsia="仿宋_GB2312"/>
                <w:szCs w:val="21"/>
              </w:rPr>
              <w:t>截止日起，竞投有效期为</w:t>
            </w:r>
            <w:r>
              <w:rPr>
                <w:rFonts w:eastAsia="仿宋_GB2312"/>
                <w:szCs w:val="21"/>
                <w:u w:val="single"/>
              </w:rPr>
              <w:t>60</w:t>
            </w:r>
            <w:r>
              <w:rPr>
                <w:rFonts w:eastAsia="仿宋_GB2312"/>
                <w:szCs w:val="21"/>
              </w:rPr>
              <w:t>日历天。</w:t>
            </w:r>
          </w:p>
        </w:tc>
      </w:tr>
      <w:tr w14:paraId="2622A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07D4E63">
            <w:pPr>
              <w:spacing w:line="240" w:lineRule="atLeast"/>
              <w:jc w:val="center"/>
              <w:rPr>
                <w:rFonts w:hint="eastAsia" w:ascii="仿宋" w:hAnsi="仿宋" w:eastAsia="仿宋_GB2312" w:cs="仿宋"/>
                <w:szCs w:val="21"/>
                <w:lang w:eastAsia="zh-CN"/>
              </w:rPr>
            </w:pPr>
            <w:r>
              <w:rPr>
                <w:rFonts w:eastAsia="仿宋_GB2312"/>
                <w:szCs w:val="21"/>
              </w:rPr>
              <w:t>1</w:t>
            </w:r>
            <w:r>
              <w:rPr>
                <w:rFonts w:hint="eastAsia" w:eastAsia="仿宋_GB2312"/>
                <w:szCs w:val="21"/>
                <w:lang w:val="en-US" w:eastAsia="zh-CN"/>
              </w:rPr>
              <w:t>8</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0067E66C">
            <w:pPr>
              <w:spacing w:line="240" w:lineRule="atLeast"/>
              <w:jc w:val="center"/>
              <w:rPr>
                <w:rFonts w:hint="eastAsia" w:ascii="仿宋" w:hAnsi="仿宋" w:eastAsia="仿宋" w:cs="仿宋"/>
                <w:szCs w:val="21"/>
              </w:rPr>
            </w:pPr>
            <w:r>
              <w:rPr>
                <w:rFonts w:eastAsia="仿宋_GB2312"/>
                <w:szCs w:val="21"/>
              </w:rPr>
              <w:t>竞投保证金</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502324D2">
            <w:pPr>
              <w:spacing w:line="360" w:lineRule="auto"/>
              <w:rPr>
                <w:rFonts w:hint="eastAsia" w:ascii="仿宋" w:hAnsi="仿宋" w:eastAsia="仿宋" w:cs="仿宋"/>
                <w:szCs w:val="21"/>
              </w:rPr>
            </w:pPr>
            <w:r>
              <w:rPr>
                <w:rFonts w:eastAsia="仿宋_GB2312"/>
                <w:szCs w:val="21"/>
              </w:rPr>
              <w:t>本项目不设竞投保证金。</w:t>
            </w:r>
          </w:p>
        </w:tc>
      </w:tr>
      <w:tr w14:paraId="6937B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76D14DA">
            <w:pPr>
              <w:spacing w:line="240" w:lineRule="atLeast"/>
              <w:jc w:val="center"/>
              <w:rPr>
                <w:rFonts w:hint="eastAsia" w:ascii="仿宋" w:hAnsi="仿宋" w:eastAsia="仿宋_GB2312" w:cs="仿宋"/>
                <w:szCs w:val="21"/>
                <w:lang w:eastAsia="zh-CN"/>
              </w:rPr>
            </w:pPr>
            <w:r>
              <w:rPr>
                <w:rFonts w:eastAsia="仿宋_GB2312"/>
                <w:szCs w:val="21"/>
              </w:rPr>
              <w:t>1</w:t>
            </w:r>
            <w:r>
              <w:rPr>
                <w:rFonts w:hint="eastAsia" w:eastAsia="仿宋_GB2312"/>
                <w:szCs w:val="21"/>
                <w:lang w:val="en-US" w:eastAsia="zh-CN"/>
              </w:rPr>
              <w:t>9</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83BAE5F">
            <w:pPr>
              <w:spacing w:line="240" w:lineRule="atLeast"/>
              <w:jc w:val="center"/>
              <w:rPr>
                <w:rFonts w:hint="eastAsia" w:ascii="仿宋" w:hAnsi="仿宋" w:eastAsia="仿宋" w:cs="仿宋"/>
                <w:szCs w:val="21"/>
              </w:rPr>
            </w:pPr>
            <w:r>
              <w:rPr>
                <w:rFonts w:hint="eastAsia" w:eastAsia="仿宋_GB2312"/>
                <w:bCs/>
                <w:szCs w:val="21"/>
                <w:lang w:val="en-US" w:eastAsia="zh-CN"/>
              </w:rPr>
              <w:t>响应</w:t>
            </w:r>
            <w:r>
              <w:rPr>
                <w:rFonts w:eastAsia="仿宋_GB2312"/>
                <w:bCs/>
                <w:szCs w:val="21"/>
              </w:rPr>
              <w:t>文件的修改和撤回</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71333BEA">
            <w:pPr>
              <w:spacing w:line="240" w:lineRule="atLeast"/>
              <w:rPr>
                <w:rFonts w:hint="eastAsia" w:ascii="仿宋" w:hAnsi="仿宋" w:eastAsia="仿宋" w:cs="仿宋"/>
                <w:szCs w:val="21"/>
                <w:lang w:val="en-US" w:eastAsia="zh-CN"/>
              </w:rPr>
            </w:pPr>
            <w:r>
              <w:rPr>
                <w:rFonts w:hint="eastAsia" w:eastAsia="仿宋_GB2312"/>
                <w:szCs w:val="21"/>
              </w:rPr>
              <w:t>响应文件递交截止时间之后，</w:t>
            </w:r>
            <w:r>
              <w:rPr>
                <w:rFonts w:hint="eastAsia" w:eastAsia="仿宋_GB2312"/>
                <w:szCs w:val="21"/>
                <w:lang w:eastAsia="zh-CN"/>
              </w:rPr>
              <w:t>竞投人</w:t>
            </w:r>
            <w:r>
              <w:rPr>
                <w:rFonts w:hint="eastAsia" w:eastAsia="仿宋_GB2312"/>
                <w:szCs w:val="21"/>
              </w:rPr>
              <w:t>不得对其响应文件做任何修改。从响应文件递交截止时间起至有效期前，</w:t>
            </w:r>
            <w:r>
              <w:rPr>
                <w:rFonts w:hint="eastAsia" w:eastAsia="仿宋_GB2312"/>
                <w:szCs w:val="21"/>
                <w:lang w:eastAsia="zh-CN"/>
              </w:rPr>
              <w:t>竞投人</w:t>
            </w:r>
            <w:r>
              <w:rPr>
                <w:rFonts w:hint="eastAsia" w:eastAsia="仿宋_GB2312"/>
                <w:szCs w:val="21"/>
              </w:rPr>
              <w:t>不得撤回其响应文件。</w:t>
            </w:r>
          </w:p>
        </w:tc>
      </w:tr>
      <w:tr w14:paraId="71EA9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84F5709">
            <w:pPr>
              <w:spacing w:line="240" w:lineRule="atLeast"/>
              <w:jc w:val="center"/>
              <w:rPr>
                <w:rFonts w:hint="default" w:ascii="仿宋" w:hAnsi="仿宋" w:eastAsia="仿宋" w:cs="仿宋"/>
                <w:szCs w:val="21"/>
                <w:lang w:val="en-US" w:eastAsia="zh-CN"/>
              </w:rPr>
            </w:pPr>
            <w:r>
              <w:rPr>
                <w:rFonts w:hint="eastAsia" w:ascii="仿宋" w:hAnsi="仿宋" w:eastAsia="仿宋" w:cs="仿宋"/>
                <w:szCs w:val="21"/>
                <w:lang w:val="en-US" w:eastAsia="zh-CN"/>
              </w:rPr>
              <w:t>20</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2392303D">
            <w:pPr>
              <w:spacing w:line="240" w:lineRule="atLeast"/>
              <w:jc w:val="center"/>
              <w:rPr>
                <w:rFonts w:eastAsia="仿宋_GB2312"/>
                <w:szCs w:val="21"/>
              </w:rPr>
            </w:pPr>
            <w:r>
              <w:rPr>
                <w:rFonts w:eastAsia="仿宋_GB2312"/>
                <w:szCs w:val="21"/>
              </w:rPr>
              <w:t>竞投文件递交</w:t>
            </w:r>
          </w:p>
          <w:p w14:paraId="3359E480">
            <w:pPr>
              <w:spacing w:line="240" w:lineRule="atLeast"/>
              <w:jc w:val="center"/>
              <w:rPr>
                <w:rFonts w:hint="eastAsia" w:ascii="仿宋" w:hAnsi="仿宋" w:eastAsia="仿宋" w:cs="仿宋"/>
                <w:szCs w:val="21"/>
              </w:rPr>
            </w:pPr>
            <w:r>
              <w:rPr>
                <w:rFonts w:eastAsia="仿宋_GB2312"/>
                <w:szCs w:val="21"/>
              </w:rPr>
              <w:t>地点</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33CC61B0">
            <w:pPr>
              <w:spacing w:line="240" w:lineRule="atLeast"/>
              <w:rPr>
                <w:rFonts w:hint="eastAsia" w:ascii="仿宋" w:hAnsi="仿宋" w:eastAsia="仿宋" w:cs="仿宋"/>
                <w:szCs w:val="21"/>
              </w:rPr>
            </w:pPr>
            <w:r>
              <w:rPr>
                <w:rFonts w:eastAsia="仿宋_GB2312"/>
                <w:szCs w:val="21"/>
              </w:rPr>
              <w:t>广州市天河区临江大道海心沙亚运公园西区</w:t>
            </w:r>
            <w:r>
              <w:rPr>
                <w:rFonts w:hint="eastAsia" w:eastAsia="仿宋_GB2312"/>
                <w:szCs w:val="21"/>
                <w:lang w:val="en-US" w:eastAsia="zh-CN"/>
              </w:rPr>
              <w:t>看台1</w:t>
            </w:r>
            <w:r>
              <w:rPr>
                <w:rFonts w:eastAsia="仿宋_GB2312"/>
                <w:szCs w:val="21"/>
              </w:rPr>
              <w:t>楼会议室</w:t>
            </w:r>
          </w:p>
        </w:tc>
      </w:tr>
      <w:tr w14:paraId="6F423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A0EE604">
            <w:pPr>
              <w:spacing w:line="240" w:lineRule="atLeast"/>
              <w:jc w:val="center"/>
              <w:rPr>
                <w:rFonts w:hint="default" w:ascii="仿宋" w:hAnsi="仿宋" w:eastAsia="仿宋" w:cs="仿宋"/>
                <w:szCs w:val="21"/>
                <w:lang w:val="en-US" w:eastAsia="zh-CN"/>
              </w:rPr>
            </w:pPr>
            <w:r>
              <w:rPr>
                <w:rFonts w:hint="eastAsia" w:ascii="仿宋" w:hAnsi="仿宋" w:eastAsia="仿宋" w:cs="仿宋"/>
                <w:szCs w:val="21"/>
                <w:lang w:val="en-US" w:eastAsia="zh-CN"/>
              </w:rPr>
              <w:t>21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6054C2F0">
            <w:pPr>
              <w:spacing w:line="240" w:lineRule="atLeast"/>
              <w:jc w:val="center"/>
              <w:rPr>
                <w:rFonts w:hint="eastAsia" w:ascii="仿宋" w:hAnsi="仿宋" w:eastAsia="仿宋" w:cs="仿宋"/>
                <w:szCs w:val="21"/>
              </w:rPr>
            </w:pPr>
            <w:r>
              <w:rPr>
                <w:rFonts w:hint="eastAsia" w:ascii="仿宋_GB2312" w:hAnsi="宋体" w:eastAsia="仿宋_GB2312" w:cs="Times New Roman"/>
                <w:sz w:val="21"/>
                <w:szCs w:val="21"/>
                <w:lang w:val="en-GB" w:eastAsia="zh-CN"/>
              </w:rPr>
              <w:t>围标串标情形</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491DF51E">
            <w:pPr>
              <w:spacing w:line="240" w:lineRule="atLeast"/>
              <w:jc w:val="left"/>
              <w:rPr>
                <w:rFonts w:hint="eastAsia" w:ascii="仿宋_GB2312" w:hAnsi="宋体" w:eastAsia="仿宋_GB2312" w:cs="Times New Roman"/>
                <w:color w:val="auto"/>
                <w:sz w:val="21"/>
                <w:szCs w:val="21"/>
                <w:highlight w:val="none"/>
                <w:lang w:val="en-GB" w:eastAsia="zh-CN"/>
              </w:rPr>
            </w:pPr>
            <w:r>
              <w:rPr>
                <w:rFonts w:hint="eastAsia" w:ascii="仿宋_GB2312" w:hAnsi="宋体" w:eastAsia="仿宋_GB2312" w:cs="Times New Roman"/>
                <w:color w:val="auto"/>
                <w:sz w:val="21"/>
                <w:szCs w:val="21"/>
                <w:highlight w:val="none"/>
                <w:lang w:val="en-GB"/>
              </w:rPr>
              <w:t>（一）</w:t>
            </w:r>
            <w:r>
              <w:rPr>
                <w:rFonts w:hint="eastAsia" w:ascii="仿宋_GB2312" w:hAnsi="宋体" w:eastAsia="仿宋_GB2312" w:cs="Times New Roman"/>
                <w:color w:val="auto"/>
                <w:sz w:val="21"/>
                <w:szCs w:val="21"/>
                <w:highlight w:val="none"/>
                <w:lang w:val="en-GB" w:eastAsia="zh-CN"/>
              </w:rPr>
              <w:t>评审期间，评审委员会将重点核查竞投人关联关系、参选响应文件一致性及其他围标串标风险情况等。发现存在围标串标情形的，有权按照法律法规和采购文件规定，否决所有违规竞投人资格。</w:t>
            </w:r>
          </w:p>
          <w:p w14:paraId="0395DF23">
            <w:pPr>
              <w:spacing w:line="240" w:lineRule="atLeast"/>
              <w:jc w:val="left"/>
              <w:rPr>
                <w:rFonts w:hint="eastAsia" w:ascii="仿宋_GB2312" w:hAnsi="宋体" w:eastAsia="仿宋_GB2312" w:cs="Times New Roman"/>
                <w:color w:val="auto"/>
                <w:sz w:val="21"/>
                <w:szCs w:val="21"/>
                <w:highlight w:val="none"/>
                <w:lang w:val="en-GB" w:eastAsia="zh-CN"/>
              </w:rPr>
            </w:pPr>
            <w:r>
              <w:rPr>
                <w:rFonts w:hint="eastAsia" w:ascii="仿宋_GB2312" w:hAnsi="宋体" w:eastAsia="仿宋_GB2312" w:cs="Times New Roman"/>
                <w:color w:val="auto"/>
                <w:sz w:val="21"/>
                <w:szCs w:val="21"/>
                <w:highlight w:val="none"/>
                <w:lang w:val="en-GB" w:eastAsia="zh-CN"/>
              </w:rPr>
              <w:t>以下是</w:t>
            </w:r>
            <w:r>
              <w:rPr>
                <w:rFonts w:hint="eastAsia" w:ascii="仿宋_GB2312" w:hAnsi="宋体" w:eastAsia="仿宋_GB2312" w:cs="Times New Roman"/>
                <w:color w:val="auto"/>
                <w:sz w:val="21"/>
                <w:szCs w:val="21"/>
                <w:highlight w:val="none"/>
                <w:lang w:val="en-GB"/>
              </w:rPr>
              <w:t>围标串标情形，请</w:t>
            </w:r>
            <w:r>
              <w:rPr>
                <w:rFonts w:hint="eastAsia" w:ascii="仿宋_GB2312" w:hAnsi="宋体" w:eastAsia="仿宋_GB2312" w:cs="Times New Roman"/>
                <w:color w:val="auto"/>
                <w:sz w:val="21"/>
                <w:szCs w:val="21"/>
                <w:highlight w:val="none"/>
                <w:lang w:val="en-GB" w:eastAsia="zh-CN"/>
              </w:rPr>
              <w:t>参选竞投人</w:t>
            </w:r>
            <w:r>
              <w:rPr>
                <w:rFonts w:hint="eastAsia" w:ascii="仿宋_GB2312" w:hAnsi="宋体" w:eastAsia="仿宋_GB2312" w:cs="Times New Roman"/>
                <w:color w:val="auto"/>
                <w:sz w:val="21"/>
                <w:szCs w:val="21"/>
                <w:highlight w:val="none"/>
                <w:lang w:val="en-GB"/>
              </w:rPr>
              <w:t>仔细阅读并遵照执行</w:t>
            </w:r>
            <w:r>
              <w:rPr>
                <w:rFonts w:hint="eastAsia" w:ascii="仿宋_GB2312" w:hAnsi="宋体" w:eastAsia="仿宋_GB2312" w:cs="Times New Roman"/>
                <w:color w:val="auto"/>
                <w:sz w:val="21"/>
                <w:szCs w:val="21"/>
                <w:highlight w:val="none"/>
                <w:lang w:val="en-GB" w:eastAsia="zh-CN"/>
              </w:rPr>
              <w:t>。</w:t>
            </w:r>
          </w:p>
          <w:p w14:paraId="0DD24008">
            <w:pPr>
              <w:spacing w:line="240" w:lineRule="atLeast"/>
              <w:jc w:val="left"/>
              <w:rPr>
                <w:rFonts w:hint="eastAsia" w:ascii="仿宋_GB2312" w:hAnsi="宋体" w:eastAsia="仿宋_GB2312" w:cs="Times New Roman"/>
                <w:color w:val="auto"/>
                <w:sz w:val="21"/>
                <w:szCs w:val="21"/>
                <w:highlight w:val="none"/>
                <w:lang w:val="en-GB"/>
              </w:rPr>
            </w:pPr>
            <w:r>
              <w:rPr>
                <w:rFonts w:hint="eastAsia" w:ascii="仿宋_GB2312" w:hAnsi="宋体" w:eastAsia="仿宋_GB2312" w:cs="Times New Roman"/>
                <w:color w:val="auto"/>
                <w:sz w:val="21"/>
                <w:szCs w:val="21"/>
                <w:highlight w:val="none"/>
                <w:lang w:val="en-GB"/>
              </w:rPr>
              <w:t>法律法规明确的围标串标情形</w:t>
            </w:r>
          </w:p>
          <w:p w14:paraId="405957A4">
            <w:pPr>
              <w:spacing w:line="240" w:lineRule="atLeast"/>
              <w:jc w:val="left"/>
              <w:rPr>
                <w:rFonts w:hint="eastAsia" w:ascii="仿宋_GB2312" w:hAnsi="宋体" w:eastAsia="仿宋_GB2312" w:cs="Times New Roman"/>
                <w:color w:val="auto"/>
                <w:sz w:val="21"/>
                <w:szCs w:val="21"/>
                <w:highlight w:val="none"/>
                <w:lang w:val="en-GB"/>
              </w:rPr>
            </w:pPr>
            <w:r>
              <w:rPr>
                <w:rFonts w:hint="eastAsia" w:ascii="仿宋_GB2312" w:hAnsi="宋体" w:eastAsia="仿宋_GB2312" w:cs="Times New Roman"/>
                <w:color w:val="auto"/>
                <w:sz w:val="21"/>
                <w:szCs w:val="21"/>
                <w:highlight w:val="none"/>
                <w:lang w:val="en-GB"/>
              </w:rPr>
              <w:t>1.属于串通投标的情形</w:t>
            </w:r>
          </w:p>
          <w:p w14:paraId="7F6ACFB6">
            <w:pPr>
              <w:spacing w:line="240" w:lineRule="atLeast"/>
              <w:jc w:val="left"/>
              <w:rPr>
                <w:rFonts w:hint="eastAsia" w:ascii="仿宋_GB2312" w:hAnsi="宋体" w:eastAsia="仿宋_GB2312" w:cs="Times New Roman"/>
                <w:color w:val="auto"/>
                <w:sz w:val="21"/>
                <w:szCs w:val="21"/>
                <w:highlight w:val="none"/>
                <w:lang w:val="en-GB"/>
              </w:rPr>
            </w:pPr>
            <w:r>
              <w:rPr>
                <w:rFonts w:hint="eastAsia" w:ascii="仿宋_GB2312" w:hAnsi="宋体" w:eastAsia="仿宋_GB2312" w:cs="Times New Roman"/>
                <w:color w:val="auto"/>
                <w:sz w:val="21"/>
                <w:szCs w:val="21"/>
                <w:highlight w:val="none"/>
                <w:lang w:val="en-GB"/>
              </w:rPr>
              <w:t>根据《中华人民共和国招标投标法实施条例》第三十九条，有下列情形之一的，属于投标人相互串通投标：</w:t>
            </w:r>
          </w:p>
          <w:p w14:paraId="6E10756B">
            <w:pPr>
              <w:spacing w:line="240" w:lineRule="atLeast"/>
              <w:jc w:val="left"/>
              <w:rPr>
                <w:rFonts w:hint="eastAsia" w:ascii="仿宋_GB2312" w:hAnsi="宋体" w:eastAsia="仿宋_GB2312" w:cs="Times New Roman"/>
                <w:color w:val="auto"/>
                <w:sz w:val="21"/>
                <w:szCs w:val="21"/>
                <w:highlight w:val="none"/>
                <w:lang w:val="en-GB"/>
              </w:rPr>
            </w:pPr>
            <w:r>
              <w:rPr>
                <w:rFonts w:hint="eastAsia" w:ascii="仿宋_GB2312" w:hAnsi="宋体" w:eastAsia="仿宋_GB2312" w:cs="Times New Roman"/>
                <w:color w:val="auto"/>
                <w:sz w:val="21"/>
                <w:szCs w:val="21"/>
                <w:highlight w:val="none"/>
                <w:lang w:val="en-GB"/>
              </w:rPr>
              <w:t>（1）投标人之间协商投标报价等投标文件的实质性内容；</w:t>
            </w:r>
          </w:p>
          <w:p w14:paraId="1F0BB9A0">
            <w:pPr>
              <w:spacing w:line="240" w:lineRule="atLeast"/>
              <w:jc w:val="left"/>
              <w:rPr>
                <w:rFonts w:hint="eastAsia" w:ascii="仿宋_GB2312" w:hAnsi="宋体" w:eastAsia="仿宋_GB2312" w:cs="Times New Roman"/>
                <w:color w:val="auto"/>
                <w:sz w:val="21"/>
                <w:szCs w:val="21"/>
                <w:highlight w:val="none"/>
                <w:lang w:val="en-GB"/>
              </w:rPr>
            </w:pPr>
            <w:r>
              <w:rPr>
                <w:rFonts w:hint="eastAsia" w:ascii="仿宋_GB2312" w:hAnsi="宋体" w:eastAsia="仿宋_GB2312" w:cs="Times New Roman"/>
                <w:color w:val="auto"/>
                <w:sz w:val="21"/>
                <w:szCs w:val="21"/>
                <w:highlight w:val="none"/>
                <w:lang w:val="en-GB"/>
              </w:rPr>
              <w:t>（2）投标人之间约定中标人；</w:t>
            </w:r>
          </w:p>
          <w:p w14:paraId="6A69FDA2">
            <w:pPr>
              <w:spacing w:line="240" w:lineRule="atLeast"/>
              <w:jc w:val="left"/>
              <w:rPr>
                <w:rFonts w:hint="eastAsia" w:ascii="仿宋_GB2312" w:hAnsi="宋体" w:eastAsia="仿宋_GB2312" w:cs="Times New Roman"/>
                <w:color w:val="auto"/>
                <w:sz w:val="21"/>
                <w:szCs w:val="21"/>
                <w:highlight w:val="none"/>
                <w:lang w:val="en-GB"/>
              </w:rPr>
            </w:pPr>
            <w:r>
              <w:rPr>
                <w:rFonts w:hint="eastAsia" w:ascii="仿宋_GB2312" w:hAnsi="宋体" w:eastAsia="仿宋_GB2312" w:cs="Times New Roman"/>
                <w:color w:val="auto"/>
                <w:sz w:val="21"/>
                <w:szCs w:val="21"/>
                <w:highlight w:val="none"/>
                <w:lang w:val="en-GB"/>
              </w:rPr>
              <w:t>（3）投标人之间约定部分投标人放弃投标或者中标；</w:t>
            </w:r>
          </w:p>
          <w:p w14:paraId="408ECA67">
            <w:pPr>
              <w:spacing w:line="240" w:lineRule="atLeast"/>
              <w:jc w:val="left"/>
              <w:rPr>
                <w:rFonts w:hint="eastAsia" w:ascii="仿宋_GB2312" w:hAnsi="宋体" w:eastAsia="仿宋_GB2312" w:cs="Times New Roman"/>
                <w:color w:val="auto"/>
                <w:sz w:val="21"/>
                <w:szCs w:val="21"/>
                <w:highlight w:val="none"/>
                <w:lang w:val="en-GB"/>
              </w:rPr>
            </w:pPr>
            <w:r>
              <w:rPr>
                <w:rFonts w:hint="eastAsia" w:ascii="仿宋_GB2312" w:hAnsi="宋体" w:eastAsia="仿宋_GB2312" w:cs="Times New Roman"/>
                <w:color w:val="auto"/>
                <w:sz w:val="21"/>
                <w:szCs w:val="21"/>
                <w:highlight w:val="none"/>
                <w:lang w:val="en-GB"/>
              </w:rPr>
              <w:t>（4）属于同一集团、协会、商会等组织成员的投标人按照该组织要求协同投标；</w:t>
            </w:r>
          </w:p>
          <w:p w14:paraId="44C96915">
            <w:pPr>
              <w:spacing w:line="240" w:lineRule="atLeast"/>
              <w:jc w:val="left"/>
              <w:rPr>
                <w:rFonts w:hint="eastAsia" w:ascii="仿宋_GB2312" w:hAnsi="宋体" w:eastAsia="仿宋_GB2312" w:cs="Times New Roman"/>
                <w:color w:val="auto"/>
                <w:sz w:val="21"/>
                <w:szCs w:val="21"/>
                <w:highlight w:val="none"/>
                <w:lang w:val="en-GB"/>
              </w:rPr>
            </w:pPr>
            <w:r>
              <w:rPr>
                <w:rFonts w:hint="eastAsia" w:ascii="仿宋_GB2312" w:hAnsi="宋体" w:eastAsia="仿宋_GB2312" w:cs="Times New Roman"/>
                <w:color w:val="auto"/>
                <w:sz w:val="21"/>
                <w:szCs w:val="21"/>
                <w:highlight w:val="none"/>
                <w:lang w:val="en-GB"/>
              </w:rPr>
              <w:t>（5）投标人之间为谋取中标或者排斥特定投标人而采取的其他联合行动。</w:t>
            </w:r>
          </w:p>
          <w:p w14:paraId="7EED7073">
            <w:pPr>
              <w:spacing w:line="240" w:lineRule="atLeast"/>
              <w:jc w:val="left"/>
              <w:rPr>
                <w:rFonts w:hint="eastAsia" w:ascii="仿宋_GB2312" w:hAnsi="宋体" w:eastAsia="仿宋_GB2312" w:cs="Times New Roman"/>
                <w:color w:val="auto"/>
                <w:sz w:val="21"/>
                <w:szCs w:val="21"/>
                <w:highlight w:val="none"/>
                <w:lang w:val="en-GB"/>
              </w:rPr>
            </w:pPr>
            <w:r>
              <w:rPr>
                <w:rFonts w:hint="eastAsia" w:ascii="仿宋_GB2312" w:hAnsi="宋体" w:eastAsia="仿宋_GB2312" w:cs="Times New Roman"/>
                <w:color w:val="auto"/>
                <w:sz w:val="21"/>
                <w:szCs w:val="21"/>
                <w:highlight w:val="none"/>
                <w:lang w:val="en-GB"/>
              </w:rPr>
              <w:t>2.视为串通投标的情形</w:t>
            </w:r>
          </w:p>
          <w:p w14:paraId="352280FB">
            <w:pPr>
              <w:spacing w:line="240" w:lineRule="atLeast"/>
              <w:jc w:val="left"/>
              <w:rPr>
                <w:rFonts w:hint="eastAsia" w:ascii="仿宋_GB2312" w:hAnsi="宋体" w:eastAsia="仿宋_GB2312" w:cs="Times New Roman"/>
                <w:color w:val="auto"/>
                <w:sz w:val="21"/>
                <w:szCs w:val="21"/>
                <w:highlight w:val="none"/>
                <w:lang w:val="en-GB"/>
              </w:rPr>
            </w:pPr>
            <w:r>
              <w:rPr>
                <w:rFonts w:hint="eastAsia" w:ascii="仿宋_GB2312" w:hAnsi="宋体" w:eastAsia="仿宋_GB2312" w:cs="Times New Roman"/>
                <w:color w:val="auto"/>
                <w:sz w:val="21"/>
                <w:szCs w:val="21"/>
                <w:highlight w:val="none"/>
                <w:lang w:val="en-GB"/>
              </w:rPr>
              <w:t>根据《中华人民共和国招标投标法实施条例》第四十条，有下列情形之一的，视为投标人相互串通投标：</w:t>
            </w:r>
          </w:p>
          <w:p w14:paraId="5D6C2357">
            <w:pPr>
              <w:spacing w:line="240" w:lineRule="atLeast"/>
              <w:jc w:val="left"/>
              <w:rPr>
                <w:rFonts w:hint="eastAsia" w:ascii="仿宋_GB2312" w:hAnsi="宋体" w:eastAsia="仿宋_GB2312" w:cs="Times New Roman"/>
                <w:color w:val="auto"/>
                <w:sz w:val="21"/>
                <w:szCs w:val="21"/>
                <w:highlight w:val="none"/>
                <w:lang w:val="en-GB"/>
              </w:rPr>
            </w:pPr>
            <w:r>
              <w:rPr>
                <w:rFonts w:hint="eastAsia" w:ascii="仿宋_GB2312" w:hAnsi="宋体" w:eastAsia="仿宋_GB2312" w:cs="Times New Roman"/>
                <w:color w:val="auto"/>
                <w:sz w:val="21"/>
                <w:szCs w:val="21"/>
                <w:highlight w:val="none"/>
                <w:lang w:val="en-GB"/>
              </w:rPr>
              <w:t>（1）不同投标人的投标文件由同一单位或者个人编制；</w:t>
            </w:r>
          </w:p>
          <w:p w14:paraId="0AB02F37">
            <w:pPr>
              <w:spacing w:line="240" w:lineRule="atLeast"/>
              <w:jc w:val="left"/>
              <w:rPr>
                <w:rFonts w:hint="eastAsia" w:ascii="仿宋_GB2312" w:hAnsi="宋体" w:eastAsia="仿宋_GB2312" w:cs="Times New Roman"/>
                <w:color w:val="auto"/>
                <w:sz w:val="21"/>
                <w:szCs w:val="21"/>
                <w:highlight w:val="none"/>
                <w:lang w:val="en-GB"/>
              </w:rPr>
            </w:pPr>
            <w:r>
              <w:rPr>
                <w:rFonts w:hint="eastAsia" w:ascii="仿宋_GB2312" w:hAnsi="宋体" w:eastAsia="仿宋_GB2312" w:cs="Times New Roman"/>
                <w:color w:val="auto"/>
                <w:sz w:val="21"/>
                <w:szCs w:val="21"/>
                <w:highlight w:val="none"/>
                <w:lang w:val="en-GB"/>
              </w:rPr>
              <w:t>（2）不同投标人委托同一单位或者个人办理投标事宜；</w:t>
            </w:r>
          </w:p>
          <w:p w14:paraId="48D3F806">
            <w:pPr>
              <w:spacing w:line="240" w:lineRule="atLeast"/>
              <w:jc w:val="left"/>
              <w:rPr>
                <w:rFonts w:hint="eastAsia" w:ascii="仿宋_GB2312" w:hAnsi="宋体" w:eastAsia="仿宋_GB2312" w:cs="Times New Roman"/>
                <w:color w:val="auto"/>
                <w:sz w:val="21"/>
                <w:szCs w:val="21"/>
                <w:highlight w:val="none"/>
                <w:lang w:val="en-GB"/>
              </w:rPr>
            </w:pPr>
            <w:r>
              <w:rPr>
                <w:rFonts w:hint="eastAsia" w:ascii="仿宋_GB2312" w:hAnsi="宋体" w:eastAsia="仿宋_GB2312" w:cs="Times New Roman"/>
                <w:color w:val="auto"/>
                <w:sz w:val="21"/>
                <w:szCs w:val="21"/>
                <w:highlight w:val="none"/>
                <w:lang w:val="en-GB"/>
              </w:rPr>
              <w:t>（3）不同投标文件载明的项目管理成员为同一人；</w:t>
            </w:r>
          </w:p>
          <w:p w14:paraId="55990471">
            <w:pPr>
              <w:spacing w:line="240" w:lineRule="atLeast"/>
              <w:jc w:val="left"/>
              <w:rPr>
                <w:rFonts w:hint="eastAsia" w:ascii="仿宋_GB2312" w:hAnsi="宋体" w:eastAsia="仿宋_GB2312" w:cs="Times New Roman"/>
                <w:color w:val="auto"/>
                <w:sz w:val="21"/>
                <w:szCs w:val="21"/>
                <w:highlight w:val="none"/>
                <w:lang w:val="en-GB"/>
              </w:rPr>
            </w:pPr>
            <w:r>
              <w:rPr>
                <w:rFonts w:hint="eastAsia" w:ascii="仿宋_GB2312" w:hAnsi="宋体" w:eastAsia="仿宋_GB2312" w:cs="Times New Roman"/>
                <w:color w:val="auto"/>
                <w:sz w:val="21"/>
                <w:szCs w:val="21"/>
                <w:highlight w:val="none"/>
                <w:lang w:val="en-GB"/>
              </w:rPr>
              <w:t>（4）不同投标人的投标文件异常一致或投标报价呈规律性差异；</w:t>
            </w:r>
          </w:p>
          <w:p w14:paraId="0C642354">
            <w:pPr>
              <w:spacing w:line="240" w:lineRule="atLeast"/>
              <w:jc w:val="left"/>
              <w:rPr>
                <w:rFonts w:hint="eastAsia" w:ascii="仿宋_GB2312" w:hAnsi="宋体" w:eastAsia="仿宋_GB2312" w:cs="Times New Roman"/>
                <w:color w:val="auto"/>
                <w:sz w:val="21"/>
                <w:szCs w:val="21"/>
                <w:highlight w:val="none"/>
                <w:lang w:val="en-GB"/>
              </w:rPr>
            </w:pPr>
            <w:r>
              <w:rPr>
                <w:rFonts w:hint="eastAsia" w:ascii="仿宋_GB2312" w:hAnsi="宋体" w:eastAsia="仿宋_GB2312" w:cs="Times New Roman"/>
                <w:color w:val="auto"/>
                <w:sz w:val="21"/>
                <w:szCs w:val="21"/>
                <w:highlight w:val="none"/>
                <w:lang w:val="en-GB"/>
              </w:rPr>
              <w:t>（5）不同投标文件相互混装；</w:t>
            </w:r>
          </w:p>
          <w:p w14:paraId="079DCFC6">
            <w:pPr>
              <w:spacing w:line="240" w:lineRule="atLeast"/>
              <w:jc w:val="left"/>
              <w:rPr>
                <w:rFonts w:hint="eastAsia" w:ascii="仿宋_GB2312" w:hAnsi="宋体" w:eastAsia="仿宋_GB2312" w:cs="Times New Roman"/>
                <w:color w:val="auto"/>
                <w:sz w:val="21"/>
                <w:szCs w:val="21"/>
                <w:highlight w:val="none"/>
                <w:lang w:val="en-GB" w:eastAsia="zh-CN"/>
              </w:rPr>
            </w:pPr>
            <w:r>
              <w:rPr>
                <w:rFonts w:hint="eastAsia" w:ascii="仿宋_GB2312" w:hAnsi="宋体" w:eastAsia="仿宋_GB2312" w:cs="Times New Roman"/>
                <w:color w:val="auto"/>
                <w:sz w:val="21"/>
                <w:szCs w:val="21"/>
                <w:highlight w:val="none"/>
                <w:lang w:val="en-GB"/>
              </w:rPr>
              <w:t>（6）不同投标人的投标保证金从同一单位或者个人的账户转出。</w:t>
            </w:r>
          </w:p>
          <w:p w14:paraId="5255BE35">
            <w:pPr>
              <w:spacing w:line="240" w:lineRule="atLeast"/>
              <w:jc w:val="left"/>
              <w:rPr>
                <w:rFonts w:hint="eastAsia" w:ascii="仿宋_GB2312" w:hAnsi="宋体" w:eastAsia="仿宋_GB2312" w:cs="Times New Roman"/>
                <w:color w:val="auto"/>
                <w:sz w:val="21"/>
                <w:szCs w:val="21"/>
                <w:highlight w:val="none"/>
                <w:lang w:val="en-GB" w:eastAsia="zh-CN"/>
              </w:rPr>
            </w:pPr>
            <w:r>
              <w:rPr>
                <w:rFonts w:hint="eastAsia" w:ascii="仿宋_GB2312" w:hAnsi="宋体" w:eastAsia="仿宋_GB2312" w:cs="Times New Roman"/>
                <w:color w:val="auto"/>
                <w:sz w:val="21"/>
                <w:szCs w:val="21"/>
                <w:highlight w:val="none"/>
                <w:lang w:val="en-GB"/>
              </w:rPr>
              <w:t>（</w:t>
            </w:r>
            <w:r>
              <w:rPr>
                <w:rFonts w:hint="eastAsia" w:ascii="仿宋_GB2312" w:hAnsi="宋体" w:eastAsia="仿宋_GB2312" w:cs="Times New Roman"/>
                <w:color w:val="auto"/>
                <w:sz w:val="21"/>
                <w:szCs w:val="21"/>
                <w:highlight w:val="none"/>
                <w:lang w:val="en-GB" w:eastAsia="zh-CN"/>
              </w:rPr>
              <w:t>二</w:t>
            </w:r>
            <w:r>
              <w:rPr>
                <w:rFonts w:hint="eastAsia" w:ascii="仿宋_GB2312" w:hAnsi="宋体" w:eastAsia="仿宋_GB2312" w:cs="Times New Roman"/>
                <w:color w:val="auto"/>
                <w:sz w:val="21"/>
                <w:szCs w:val="21"/>
                <w:highlight w:val="none"/>
                <w:lang w:val="en-GB"/>
              </w:rPr>
              <w:t>）</w:t>
            </w:r>
            <w:r>
              <w:rPr>
                <w:rFonts w:hint="eastAsia" w:ascii="仿宋_GB2312" w:hAnsi="宋体" w:eastAsia="仿宋_GB2312" w:cs="Times New Roman"/>
                <w:color w:val="auto"/>
                <w:sz w:val="21"/>
                <w:szCs w:val="21"/>
                <w:highlight w:val="none"/>
                <w:lang w:val="en-GB" w:eastAsia="zh-CN"/>
              </w:rPr>
              <w:t>评审期间，评审委员会发现可能存在围标串标情形的，有权按照采购文件规定否决所有违规竞投人资格。</w:t>
            </w:r>
          </w:p>
          <w:p w14:paraId="324C207A">
            <w:pPr>
              <w:spacing w:line="240" w:lineRule="atLeast"/>
              <w:jc w:val="left"/>
              <w:rPr>
                <w:rFonts w:hint="eastAsia" w:ascii="仿宋_GB2312" w:hAnsi="宋体" w:eastAsia="仿宋_GB2312" w:cs="Times New Roman"/>
                <w:color w:val="auto"/>
                <w:sz w:val="21"/>
                <w:szCs w:val="21"/>
                <w:highlight w:val="none"/>
                <w:lang w:val="en-GB" w:eastAsia="zh-CN"/>
              </w:rPr>
            </w:pPr>
            <w:r>
              <w:rPr>
                <w:rFonts w:hint="eastAsia" w:ascii="仿宋_GB2312" w:hAnsi="宋体" w:eastAsia="仿宋_GB2312" w:cs="Times New Roman"/>
                <w:color w:val="auto"/>
                <w:sz w:val="21"/>
                <w:szCs w:val="21"/>
                <w:highlight w:val="none"/>
                <w:lang w:val="en-GB" w:eastAsia="zh-CN"/>
              </w:rPr>
              <w:t>1.可能存在围标串标风险的情形</w:t>
            </w:r>
          </w:p>
          <w:p w14:paraId="63C0837F">
            <w:pPr>
              <w:spacing w:line="240" w:lineRule="atLeast"/>
              <w:jc w:val="left"/>
              <w:rPr>
                <w:rFonts w:hint="eastAsia" w:ascii="仿宋_GB2312" w:hAnsi="宋体" w:eastAsia="仿宋_GB2312" w:cs="Times New Roman"/>
                <w:color w:val="auto"/>
                <w:sz w:val="21"/>
                <w:szCs w:val="21"/>
                <w:highlight w:val="none"/>
                <w:lang w:val="en-GB" w:eastAsia="zh-CN"/>
              </w:rPr>
            </w:pPr>
            <w:r>
              <w:rPr>
                <w:rFonts w:hint="eastAsia" w:ascii="仿宋_GB2312" w:hAnsi="宋体" w:eastAsia="仿宋_GB2312" w:cs="Times New Roman"/>
                <w:color w:val="auto"/>
                <w:sz w:val="21"/>
                <w:szCs w:val="21"/>
                <w:highlight w:val="none"/>
                <w:lang w:val="en-GB" w:eastAsia="zh-CN"/>
              </w:rPr>
              <w:t>（1）同一项目中，不同响应文件内容存在3处以上雷同错误(文字错误、符号错误、计算错误、格式排版错误等），且非采购文件模版统一要求导致。</w:t>
            </w:r>
          </w:p>
          <w:p w14:paraId="5FD7673E">
            <w:pPr>
              <w:spacing w:line="240" w:lineRule="atLeast"/>
              <w:jc w:val="left"/>
              <w:rPr>
                <w:rFonts w:hint="eastAsia" w:ascii="仿宋_GB2312" w:hAnsi="宋体" w:eastAsia="仿宋_GB2312" w:cs="Times New Roman"/>
                <w:color w:val="auto"/>
                <w:sz w:val="21"/>
                <w:szCs w:val="21"/>
                <w:highlight w:val="none"/>
                <w:lang w:val="en-GB" w:eastAsia="zh-CN"/>
              </w:rPr>
            </w:pPr>
            <w:r>
              <w:rPr>
                <w:rFonts w:hint="eastAsia" w:ascii="仿宋_GB2312" w:hAnsi="宋体" w:eastAsia="仿宋_GB2312" w:cs="Times New Roman"/>
                <w:color w:val="auto"/>
                <w:sz w:val="21"/>
                <w:szCs w:val="21"/>
                <w:highlight w:val="none"/>
                <w:lang w:val="en-GB" w:eastAsia="zh-CN"/>
              </w:rPr>
              <w:t>（2）同一项目中，不同响应文件的多个关键部分（如服务方案等）存在内容高度相似或完全相同，且非采购文件模版统一要求导致。</w:t>
            </w:r>
          </w:p>
          <w:p w14:paraId="50D0A659">
            <w:pPr>
              <w:spacing w:line="240" w:lineRule="atLeast"/>
              <w:jc w:val="left"/>
              <w:rPr>
                <w:rFonts w:hint="eastAsia" w:ascii="仿宋_GB2312" w:hAnsi="宋体" w:eastAsia="仿宋_GB2312" w:cs="Times New Roman"/>
                <w:color w:val="auto"/>
                <w:sz w:val="21"/>
                <w:szCs w:val="21"/>
                <w:highlight w:val="none"/>
                <w:lang w:val="en-GB" w:eastAsia="zh-CN"/>
              </w:rPr>
            </w:pPr>
            <w:r>
              <w:rPr>
                <w:rFonts w:hint="eastAsia" w:ascii="仿宋_GB2312" w:hAnsi="宋体" w:eastAsia="仿宋_GB2312" w:cs="Times New Roman"/>
                <w:color w:val="auto"/>
                <w:sz w:val="21"/>
                <w:szCs w:val="21"/>
                <w:highlight w:val="none"/>
                <w:lang w:val="en-GB" w:eastAsia="zh-CN"/>
              </w:rPr>
              <w:t>（3）同一项目，不同竞投人直接参股，或其法定代表人相互直接参股，且存在其他异常关联情形。</w:t>
            </w:r>
          </w:p>
          <w:p w14:paraId="5F2A2D16">
            <w:pPr>
              <w:spacing w:line="240" w:lineRule="atLeast"/>
              <w:jc w:val="left"/>
              <w:rPr>
                <w:rFonts w:hint="eastAsia" w:ascii="仿宋_GB2312" w:hAnsi="宋体" w:eastAsia="仿宋_GB2312" w:cs="Times New Roman"/>
                <w:color w:val="auto"/>
                <w:sz w:val="21"/>
                <w:szCs w:val="21"/>
                <w:highlight w:val="none"/>
                <w:lang w:val="en-GB" w:eastAsia="zh-CN"/>
              </w:rPr>
            </w:pPr>
            <w:r>
              <w:rPr>
                <w:rFonts w:hint="eastAsia" w:ascii="仿宋_GB2312" w:hAnsi="宋体" w:eastAsia="仿宋_GB2312" w:cs="Times New Roman"/>
                <w:color w:val="auto"/>
                <w:sz w:val="21"/>
                <w:szCs w:val="21"/>
                <w:highlight w:val="none"/>
                <w:lang w:val="en-GB" w:eastAsia="zh-CN"/>
              </w:rPr>
              <w:t>（4）同一项目，不同竞投人的监事存在交叉任职，且存在股权关联、注册地址相同等其他异常关联情形。</w:t>
            </w:r>
          </w:p>
          <w:p w14:paraId="773A471B">
            <w:pPr>
              <w:spacing w:line="240" w:lineRule="atLeast"/>
              <w:rPr>
                <w:rFonts w:hint="eastAsia" w:ascii="仿宋" w:hAnsi="仿宋" w:eastAsia="仿宋" w:cs="仿宋"/>
                <w:szCs w:val="21"/>
              </w:rPr>
            </w:pPr>
            <w:r>
              <w:rPr>
                <w:rFonts w:hint="eastAsia" w:ascii="仿宋_GB2312" w:hAnsi="宋体" w:eastAsia="仿宋_GB2312" w:cs="Times New Roman"/>
                <w:color w:val="auto"/>
                <w:sz w:val="21"/>
                <w:szCs w:val="21"/>
                <w:highlight w:val="none"/>
                <w:lang w:val="en-GB" w:eastAsia="zh-CN"/>
              </w:rPr>
              <w:t>（5）同一项目中，不同竞投人的联系人、电话或者注册地址相同。</w:t>
            </w:r>
          </w:p>
        </w:tc>
      </w:tr>
      <w:tr w14:paraId="12EAB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2804943">
            <w:pPr>
              <w:spacing w:line="240" w:lineRule="atLeast"/>
              <w:jc w:val="center"/>
              <w:rPr>
                <w:rFonts w:hint="default" w:ascii="仿宋" w:hAnsi="仿宋" w:eastAsia="仿宋" w:cs="仿宋"/>
                <w:szCs w:val="21"/>
                <w:lang w:val="en-US" w:eastAsia="zh-CN"/>
              </w:rPr>
            </w:pPr>
            <w:r>
              <w:rPr>
                <w:rFonts w:hint="eastAsia" w:ascii="仿宋" w:hAnsi="仿宋" w:eastAsia="仿宋" w:cs="仿宋"/>
                <w:szCs w:val="21"/>
                <w:lang w:val="en-US" w:eastAsia="zh-CN"/>
              </w:rPr>
              <w:t>22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1AF6B06">
            <w:pPr>
              <w:spacing w:line="240" w:lineRule="atLeast"/>
              <w:jc w:val="center"/>
              <w:rPr>
                <w:rFonts w:hint="eastAsia" w:ascii="仿宋" w:hAnsi="仿宋" w:eastAsia="仿宋" w:cs="仿宋"/>
                <w:szCs w:val="21"/>
              </w:rPr>
            </w:pPr>
            <w:r>
              <w:rPr>
                <w:rFonts w:eastAsia="仿宋_GB2312"/>
                <w:bCs/>
                <w:szCs w:val="21"/>
              </w:rPr>
              <w:t>知识产权</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2D9957BE">
            <w:pPr>
              <w:spacing w:line="240" w:lineRule="atLeast"/>
              <w:rPr>
                <w:rFonts w:hint="eastAsia" w:ascii="仿宋" w:hAnsi="仿宋" w:eastAsia="仿宋" w:cs="仿宋"/>
                <w:szCs w:val="21"/>
              </w:rPr>
            </w:pPr>
            <w:r>
              <w:rPr>
                <w:rFonts w:hint="eastAsia" w:eastAsia="仿宋_GB2312"/>
                <w:szCs w:val="21"/>
              </w:rPr>
              <w:t>参与本采购项目的</w:t>
            </w:r>
            <w:r>
              <w:rPr>
                <w:rFonts w:hint="eastAsia" w:eastAsia="仿宋_GB2312"/>
                <w:szCs w:val="21"/>
                <w:lang w:eastAsia="zh-CN"/>
              </w:rPr>
              <w:t>竞投人</w:t>
            </w:r>
            <w:r>
              <w:rPr>
                <w:rFonts w:hint="eastAsia" w:eastAsia="仿宋_GB2312"/>
                <w:szCs w:val="21"/>
              </w:rPr>
              <w:t>须接受及保证，采购人在中华人民共和国境内使用本次采购服务时（含</w:t>
            </w:r>
            <w:r>
              <w:rPr>
                <w:rFonts w:hint="eastAsia" w:eastAsia="仿宋_GB2312"/>
                <w:szCs w:val="21"/>
                <w:lang w:eastAsia="zh-CN"/>
              </w:rPr>
              <w:t>竞投人</w:t>
            </w:r>
            <w:r>
              <w:rPr>
                <w:rFonts w:hint="eastAsia" w:eastAsia="仿宋_GB2312"/>
                <w:szCs w:val="21"/>
              </w:rPr>
              <w:t>提供的设计、软件、服务及提供服务所需的设备、货物、产品、资料、技术或其任何一部分），享有不受限制的使用权，不会产生因第三方提出侵犯其专利权、商标权或其它知识产权而引起的法律纠纷。如</w:t>
            </w:r>
            <w:r>
              <w:rPr>
                <w:rFonts w:hint="eastAsia" w:eastAsia="仿宋_GB2312"/>
                <w:szCs w:val="21"/>
                <w:lang w:eastAsia="zh-CN"/>
              </w:rPr>
              <w:t>竞投人</w:t>
            </w:r>
            <w:r>
              <w:rPr>
                <w:rFonts w:hint="eastAsia" w:eastAsia="仿宋_GB2312"/>
                <w:szCs w:val="21"/>
              </w:rPr>
              <w:t>不拥有相应的知识产权，则应由</w:t>
            </w:r>
            <w:r>
              <w:rPr>
                <w:rFonts w:hint="eastAsia" w:eastAsia="仿宋_GB2312"/>
                <w:szCs w:val="21"/>
                <w:lang w:eastAsia="zh-CN"/>
              </w:rPr>
              <w:t>竞投人</w:t>
            </w:r>
            <w:r>
              <w:rPr>
                <w:rFonts w:hint="eastAsia" w:eastAsia="仿宋_GB2312"/>
                <w:szCs w:val="21"/>
              </w:rPr>
              <w:t>负责获得并提供给采购人使用，其报价中必须包括合法获取该知识产权的一切相关费用，如</w:t>
            </w:r>
            <w:r>
              <w:rPr>
                <w:rFonts w:hint="eastAsia" w:eastAsia="仿宋_GB2312"/>
                <w:szCs w:val="21"/>
                <w:lang w:eastAsia="zh-CN"/>
              </w:rPr>
              <w:t>竞投人</w:t>
            </w:r>
            <w:r>
              <w:rPr>
                <w:rFonts w:hint="eastAsia" w:eastAsia="仿宋_GB2312"/>
                <w:szCs w:val="21"/>
              </w:rPr>
              <w:t>没有单独列出的，视为已包含在相应报价中。一旦使用</w:t>
            </w:r>
            <w:r>
              <w:rPr>
                <w:rFonts w:hint="eastAsia" w:eastAsia="仿宋_GB2312"/>
                <w:szCs w:val="21"/>
                <w:lang w:eastAsia="zh-CN"/>
              </w:rPr>
              <w:t>竞投人</w:t>
            </w:r>
            <w:r>
              <w:rPr>
                <w:rFonts w:hint="eastAsia" w:eastAsia="仿宋_GB2312"/>
                <w:szCs w:val="21"/>
              </w:rPr>
              <w:t>提供的服务（含</w:t>
            </w:r>
            <w:r>
              <w:rPr>
                <w:rFonts w:hint="eastAsia" w:eastAsia="仿宋_GB2312"/>
                <w:szCs w:val="21"/>
                <w:lang w:eastAsia="zh-CN"/>
              </w:rPr>
              <w:t>竞投人</w:t>
            </w:r>
            <w:r>
              <w:rPr>
                <w:rFonts w:hint="eastAsia" w:eastAsia="仿宋_GB2312"/>
                <w:szCs w:val="21"/>
              </w:rPr>
              <w:t>提供服务所需的设备、货物、产品、资料、技术或其任何一部分），采购人不再承担第三方提出侵犯其专利权、商标权或其它知识产权而引起的法律纠纷。</w:t>
            </w:r>
          </w:p>
        </w:tc>
      </w:tr>
      <w:tr w14:paraId="0B023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F0D0F56">
            <w:pPr>
              <w:spacing w:line="240" w:lineRule="atLeast"/>
              <w:jc w:val="center"/>
              <w:rPr>
                <w:rFonts w:hint="default" w:ascii="仿宋" w:hAnsi="仿宋" w:eastAsia="仿宋" w:cs="仿宋"/>
                <w:szCs w:val="21"/>
                <w:lang w:val="en-US" w:eastAsia="zh-CN"/>
              </w:rPr>
            </w:pPr>
            <w:r>
              <w:rPr>
                <w:rFonts w:hint="eastAsia" w:ascii="仿宋" w:hAnsi="仿宋" w:eastAsia="仿宋" w:cs="仿宋"/>
                <w:szCs w:val="21"/>
                <w:lang w:val="en-US" w:eastAsia="zh-CN"/>
              </w:rPr>
              <w:t>23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5F4ACF6F">
            <w:pPr>
              <w:spacing w:line="240" w:lineRule="atLeast"/>
              <w:jc w:val="center"/>
              <w:rPr>
                <w:rFonts w:hint="eastAsia" w:ascii="仿宋" w:hAnsi="仿宋" w:eastAsia="仿宋" w:cs="仿宋"/>
                <w:szCs w:val="21"/>
              </w:rPr>
            </w:pPr>
            <w:r>
              <w:rPr>
                <w:rFonts w:eastAsia="仿宋_GB2312"/>
                <w:szCs w:val="21"/>
              </w:rPr>
              <w:t>禁止事项</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056D8C3B">
            <w:pPr>
              <w:spacing w:line="240" w:lineRule="atLeast"/>
              <w:rPr>
                <w:rFonts w:hint="eastAsia" w:ascii="仿宋" w:hAnsi="仿宋" w:eastAsia="仿宋" w:cs="仿宋"/>
                <w:szCs w:val="21"/>
              </w:rPr>
            </w:pPr>
            <w:r>
              <w:rPr>
                <w:rFonts w:hint="eastAsia" w:eastAsia="仿宋_GB2312"/>
                <w:szCs w:val="21"/>
              </w:rPr>
              <w:t>采购人、</w:t>
            </w:r>
            <w:r>
              <w:rPr>
                <w:rFonts w:hint="eastAsia" w:eastAsia="仿宋_GB2312"/>
                <w:szCs w:val="21"/>
                <w:lang w:eastAsia="zh-CN"/>
              </w:rPr>
              <w:t>竞投人</w:t>
            </w:r>
            <w:r>
              <w:rPr>
                <w:rFonts w:hint="eastAsia" w:eastAsia="仿宋_GB2312"/>
                <w:szCs w:val="21"/>
              </w:rPr>
              <w:t>不得相互串通损害国家利益，社会公共利益和其他当事人的合法权益；不得以任何手段排斥其他</w:t>
            </w:r>
            <w:r>
              <w:rPr>
                <w:rFonts w:hint="eastAsia" w:eastAsia="仿宋_GB2312"/>
                <w:szCs w:val="21"/>
                <w:lang w:eastAsia="zh-CN"/>
              </w:rPr>
              <w:t>竞投人</w:t>
            </w:r>
            <w:r>
              <w:rPr>
                <w:rFonts w:hint="eastAsia" w:eastAsia="仿宋_GB2312"/>
                <w:szCs w:val="21"/>
              </w:rPr>
              <w:t>参与竞争；各</w:t>
            </w:r>
            <w:r>
              <w:rPr>
                <w:rFonts w:hint="eastAsia" w:eastAsia="仿宋_GB2312"/>
                <w:szCs w:val="21"/>
                <w:lang w:eastAsia="zh-CN"/>
              </w:rPr>
              <w:t>竞投人</w:t>
            </w:r>
            <w:r>
              <w:rPr>
                <w:rFonts w:hint="eastAsia" w:eastAsia="仿宋_GB2312"/>
                <w:szCs w:val="21"/>
              </w:rPr>
              <w:t>不得向采购人或采购人组成的评审人员行贿或者采取其他不正当手段谋取中选。</w:t>
            </w:r>
          </w:p>
        </w:tc>
      </w:tr>
      <w:tr w14:paraId="05109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C082B11">
            <w:pPr>
              <w:spacing w:line="240" w:lineRule="atLeast"/>
              <w:jc w:val="center"/>
              <w:rPr>
                <w:rFonts w:hint="default" w:ascii="仿宋" w:hAnsi="仿宋" w:eastAsia="仿宋" w:cs="仿宋"/>
                <w:szCs w:val="21"/>
                <w:lang w:val="en-US" w:eastAsia="zh-CN"/>
              </w:rPr>
            </w:pPr>
            <w:r>
              <w:rPr>
                <w:rFonts w:hint="eastAsia" w:ascii="仿宋" w:hAnsi="仿宋" w:eastAsia="仿宋" w:cs="仿宋"/>
                <w:szCs w:val="21"/>
                <w:lang w:val="en-US" w:eastAsia="zh-CN"/>
              </w:rPr>
              <w:t>24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9C03985">
            <w:pPr>
              <w:spacing w:line="240" w:lineRule="atLeast"/>
              <w:jc w:val="center"/>
              <w:rPr>
                <w:rFonts w:hint="eastAsia" w:ascii="仿宋" w:hAnsi="仿宋" w:eastAsia="仿宋" w:cs="仿宋"/>
                <w:szCs w:val="21"/>
              </w:rPr>
            </w:pPr>
            <w:r>
              <w:rPr>
                <w:rFonts w:eastAsia="仿宋_GB2312"/>
                <w:bCs/>
                <w:szCs w:val="21"/>
              </w:rPr>
              <w:t>保密要求</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13312FDB">
            <w:pPr>
              <w:spacing w:line="240" w:lineRule="atLeast"/>
              <w:rPr>
                <w:rFonts w:hint="eastAsia" w:ascii="仿宋" w:hAnsi="仿宋" w:eastAsia="仿宋" w:cs="仿宋"/>
                <w:szCs w:val="21"/>
              </w:rPr>
            </w:pPr>
            <w:r>
              <w:rPr>
                <w:rFonts w:hint="eastAsia" w:eastAsia="仿宋_GB2312"/>
                <w:szCs w:val="21"/>
              </w:rPr>
              <w:t>由采购人向</w:t>
            </w:r>
            <w:r>
              <w:rPr>
                <w:rFonts w:hint="eastAsia" w:eastAsia="仿宋_GB2312"/>
                <w:szCs w:val="21"/>
                <w:lang w:eastAsia="zh-CN"/>
              </w:rPr>
              <w:t>竞投人</w:t>
            </w:r>
            <w:r>
              <w:rPr>
                <w:rFonts w:hint="eastAsia" w:eastAsia="仿宋_GB2312"/>
                <w:szCs w:val="21"/>
              </w:rPr>
              <w:t>提供的采购文件、用户需求书等所有资料，</w:t>
            </w:r>
            <w:r>
              <w:rPr>
                <w:rFonts w:hint="eastAsia" w:eastAsia="仿宋_GB2312"/>
                <w:szCs w:val="21"/>
                <w:lang w:eastAsia="zh-CN"/>
              </w:rPr>
              <w:t>竞投人</w:t>
            </w:r>
            <w:r>
              <w:rPr>
                <w:rFonts w:hint="eastAsia" w:eastAsia="仿宋_GB2312"/>
                <w:szCs w:val="21"/>
              </w:rPr>
              <w:t>获得后，应对其保密。非经采购人书面同意，</w:t>
            </w:r>
            <w:r>
              <w:rPr>
                <w:rFonts w:hint="eastAsia" w:eastAsia="仿宋_GB2312"/>
                <w:szCs w:val="21"/>
                <w:lang w:eastAsia="zh-CN"/>
              </w:rPr>
              <w:t>竞投人</w:t>
            </w:r>
            <w:r>
              <w:rPr>
                <w:rFonts w:hint="eastAsia" w:eastAsia="仿宋_GB2312"/>
                <w:szCs w:val="21"/>
              </w:rPr>
              <w:t>不得向第三方透露或将其用于本次比选以外的任何用途。</w:t>
            </w:r>
          </w:p>
        </w:tc>
      </w:tr>
      <w:tr w14:paraId="417DD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FC76A48">
            <w:pPr>
              <w:spacing w:line="240" w:lineRule="atLeast"/>
              <w:jc w:val="center"/>
              <w:rPr>
                <w:rFonts w:hint="default" w:ascii="仿宋" w:hAnsi="仿宋" w:eastAsia="仿宋" w:cs="仿宋"/>
                <w:szCs w:val="21"/>
                <w:lang w:val="en-US" w:eastAsia="zh-CN"/>
              </w:rPr>
            </w:pPr>
            <w:r>
              <w:rPr>
                <w:rFonts w:hint="eastAsia" w:ascii="仿宋" w:hAnsi="仿宋" w:eastAsia="仿宋" w:cs="仿宋"/>
                <w:szCs w:val="21"/>
                <w:lang w:val="en-US" w:eastAsia="zh-CN"/>
              </w:rPr>
              <w:t>25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A243B58">
            <w:pPr>
              <w:spacing w:line="240" w:lineRule="atLeast"/>
              <w:jc w:val="center"/>
              <w:rPr>
                <w:rFonts w:hint="eastAsia" w:ascii="仿宋" w:hAnsi="仿宋" w:eastAsia="仿宋" w:cs="仿宋"/>
                <w:szCs w:val="21"/>
              </w:rPr>
            </w:pPr>
            <w:r>
              <w:rPr>
                <w:rFonts w:hint="eastAsia" w:eastAsia="仿宋_GB2312"/>
                <w:bCs/>
                <w:szCs w:val="21"/>
              </w:rPr>
              <w:t>采购联系方式</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513C2E79">
            <w:pPr>
              <w:spacing w:line="240" w:lineRule="atLeast"/>
              <w:rPr>
                <w:rFonts w:hint="eastAsia" w:eastAsia="仿宋_GB2312"/>
                <w:szCs w:val="21"/>
              </w:rPr>
            </w:pPr>
            <w:r>
              <w:rPr>
                <w:rFonts w:hint="eastAsia" w:eastAsia="仿宋_GB2312"/>
                <w:szCs w:val="21"/>
              </w:rPr>
              <w:t>采购单位：广州市城投资产经营管理有限公司珠江新城分公司</w:t>
            </w:r>
          </w:p>
          <w:p w14:paraId="49B158CF">
            <w:pPr>
              <w:spacing w:line="240" w:lineRule="atLeast"/>
              <w:rPr>
                <w:rFonts w:hint="eastAsia" w:eastAsia="仿宋_GB2312"/>
                <w:szCs w:val="21"/>
              </w:rPr>
            </w:pPr>
            <w:r>
              <w:rPr>
                <w:rFonts w:hint="eastAsia" w:eastAsia="仿宋_GB2312"/>
                <w:szCs w:val="21"/>
              </w:rPr>
              <w:t>联系地址：广州市天河区珠江新城临江大道海心沙岛西区看台</w:t>
            </w:r>
            <w:r>
              <w:rPr>
                <w:rFonts w:hint="eastAsia" w:eastAsia="仿宋_GB2312"/>
                <w:szCs w:val="21"/>
                <w:lang w:val="en-US" w:eastAsia="zh-CN"/>
              </w:rPr>
              <w:t>3</w:t>
            </w:r>
            <w:r>
              <w:rPr>
                <w:rFonts w:hint="eastAsia" w:eastAsia="仿宋_GB2312"/>
                <w:szCs w:val="21"/>
              </w:rPr>
              <w:t>楼</w:t>
            </w:r>
            <w:r>
              <w:rPr>
                <w:rFonts w:hint="eastAsia" w:eastAsia="仿宋_GB2312"/>
                <w:szCs w:val="21"/>
                <w:lang w:eastAsia="zh-CN"/>
              </w:rPr>
              <w:t>（</w:t>
            </w:r>
            <w:r>
              <w:rPr>
                <w:rFonts w:hint="eastAsia" w:eastAsia="仿宋_GB2312"/>
                <w:szCs w:val="21"/>
                <w:lang w:val="en-US" w:eastAsia="zh-CN"/>
              </w:rPr>
              <w:t>花城汇项目部）</w:t>
            </w:r>
            <w:r>
              <w:rPr>
                <w:rFonts w:hint="eastAsia" w:eastAsia="仿宋_GB2312"/>
                <w:szCs w:val="21"/>
              </w:rPr>
              <w:t>；</w:t>
            </w:r>
          </w:p>
          <w:p w14:paraId="218F43C0">
            <w:pPr>
              <w:spacing w:line="240" w:lineRule="atLeast"/>
              <w:rPr>
                <w:rFonts w:hint="eastAsia" w:eastAsia="仿宋_GB2312"/>
                <w:szCs w:val="21"/>
                <w:lang w:val="en-US" w:eastAsia="zh-CN"/>
              </w:rPr>
            </w:pPr>
            <w:r>
              <w:rPr>
                <w:rFonts w:hint="eastAsia" w:eastAsia="仿宋_GB2312"/>
                <w:szCs w:val="21"/>
              </w:rPr>
              <w:t>联 系 人：</w:t>
            </w:r>
            <w:r>
              <w:rPr>
                <w:rFonts w:hint="eastAsia" w:eastAsia="仿宋_GB2312"/>
                <w:szCs w:val="21"/>
                <w:lang w:val="en-US" w:eastAsia="zh-CN"/>
              </w:rPr>
              <w:t>周小姐</w:t>
            </w:r>
          </w:p>
          <w:p w14:paraId="1C7C02A0">
            <w:pPr>
              <w:spacing w:line="240" w:lineRule="atLeast"/>
              <w:rPr>
                <w:rFonts w:hint="eastAsia" w:ascii="仿宋" w:hAnsi="仿宋" w:eastAsia="仿宋" w:cs="仿宋"/>
                <w:szCs w:val="21"/>
              </w:rPr>
            </w:pPr>
            <w:r>
              <w:rPr>
                <w:rFonts w:hint="eastAsia" w:eastAsia="仿宋_GB2312"/>
                <w:szCs w:val="21"/>
              </w:rPr>
              <w:t>联系电话：</w:t>
            </w:r>
            <w:r>
              <w:rPr>
                <w:rFonts w:hint="eastAsia" w:eastAsia="仿宋_GB2312"/>
                <w:szCs w:val="21"/>
                <w:lang w:val="en-US" w:eastAsia="zh-CN"/>
              </w:rPr>
              <w:t>13660817483</w:t>
            </w:r>
          </w:p>
        </w:tc>
      </w:tr>
      <w:tr w14:paraId="64DF0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ED320ED">
            <w:pPr>
              <w:spacing w:line="240" w:lineRule="atLeast"/>
              <w:jc w:val="center"/>
              <w:rPr>
                <w:rFonts w:hint="default" w:ascii="仿宋" w:hAnsi="仿宋" w:eastAsia="仿宋" w:cs="仿宋"/>
                <w:szCs w:val="21"/>
                <w:lang w:val="en-US" w:eastAsia="zh-CN"/>
              </w:rPr>
            </w:pPr>
            <w:r>
              <w:rPr>
                <w:rFonts w:hint="eastAsia" w:ascii="仿宋" w:hAnsi="仿宋" w:eastAsia="仿宋" w:cs="仿宋"/>
                <w:szCs w:val="21"/>
                <w:lang w:val="en-US" w:eastAsia="zh-CN"/>
              </w:rPr>
              <w:t>26</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32E21AA">
            <w:pPr>
              <w:spacing w:line="240" w:lineRule="atLeast"/>
              <w:jc w:val="center"/>
              <w:rPr>
                <w:rFonts w:hint="eastAsia" w:ascii="仿宋" w:hAnsi="仿宋" w:eastAsia="仿宋" w:cs="仿宋"/>
                <w:szCs w:val="21"/>
              </w:rPr>
            </w:pPr>
            <w:r>
              <w:rPr>
                <w:rFonts w:eastAsia="仿宋_GB2312"/>
                <w:szCs w:val="21"/>
              </w:rPr>
              <w:t>其他</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7FCD72B7">
            <w:pPr>
              <w:spacing w:line="240" w:lineRule="atLeast"/>
              <w:rPr>
                <w:rFonts w:hint="eastAsia" w:eastAsia="仿宋_GB2312"/>
                <w:szCs w:val="21"/>
              </w:rPr>
            </w:pPr>
            <w:r>
              <w:rPr>
                <w:rFonts w:hint="eastAsia" w:eastAsia="仿宋_GB2312"/>
                <w:szCs w:val="21"/>
              </w:rPr>
              <w:t>1. 本采购项目信息同步在广州国企阳光采购信息发布平台（https://ygcg.gzggzy.cn）、经营公司官方网站（https://www.gzccic.com/）发布，符合资格的意向</w:t>
            </w:r>
            <w:r>
              <w:rPr>
                <w:rFonts w:hint="eastAsia" w:eastAsia="仿宋_GB2312"/>
                <w:szCs w:val="21"/>
                <w:lang w:eastAsia="zh-CN"/>
              </w:rPr>
              <w:t>竞投人</w:t>
            </w:r>
            <w:r>
              <w:rPr>
                <w:rFonts w:hint="eastAsia" w:eastAsia="仿宋_GB2312"/>
                <w:szCs w:val="21"/>
              </w:rPr>
              <w:t>可行进行响应并承担所有与其参加响应有关的全部费用。</w:t>
            </w:r>
          </w:p>
          <w:p w14:paraId="216DEFC2">
            <w:pPr>
              <w:spacing w:line="240" w:lineRule="atLeast"/>
              <w:rPr>
                <w:rFonts w:hint="eastAsia" w:eastAsia="仿宋_GB2312"/>
                <w:szCs w:val="21"/>
              </w:rPr>
            </w:pPr>
            <w:r>
              <w:rPr>
                <w:rFonts w:hint="eastAsia" w:eastAsia="仿宋_GB2312"/>
                <w:szCs w:val="21"/>
              </w:rPr>
              <w:t>2. 至提交响应文件的截止时间止，递交响应文件的</w:t>
            </w:r>
            <w:r>
              <w:rPr>
                <w:rFonts w:hint="eastAsia" w:eastAsia="仿宋_GB2312"/>
                <w:szCs w:val="21"/>
                <w:lang w:eastAsia="zh-CN"/>
              </w:rPr>
              <w:t>竞投人</w:t>
            </w:r>
            <w:r>
              <w:rPr>
                <w:rFonts w:hint="eastAsia" w:eastAsia="仿宋_GB2312"/>
                <w:szCs w:val="21"/>
              </w:rPr>
              <w:t>少于三家时，已递交的响应文件不得开启，原封退回给</w:t>
            </w:r>
            <w:r>
              <w:rPr>
                <w:rFonts w:hint="eastAsia" w:eastAsia="仿宋_GB2312"/>
                <w:szCs w:val="21"/>
                <w:lang w:eastAsia="zh-CN"/>
              </w:rPr>
              <w:t>竞投人</w:t>
            </w:r>
            <w:r>
              <w:rPr>
                <w:rFonts w:hint="eastAsia" w:eastAsia="仿宋_GB2312"/>
                <w:szCs w:val="21"/>
              </w:rPr>
              <w:t>。递交响应文件的</w:t>
            </w:r>
            <w:r>
              <w:rPr>
                <w:rFonts w:hint="eastAsia" w:eastAsia="仿宋_GB2312"/>
                <w:szCs w:val="21"/>
                <w:lang w:eastAsia="zh-CN"/>
              </w:rPr>
              <w:t>竞投人</w:t>
            </w:r>
            <w:r>
              <w:rPr>
                <w:rFonts w:hint="eastAsia" w:eastAsia="仿宋_GB2312"/>
                <w:szCs w:val="21"/>
              </w:rPr>
              <w:t>或通过有效性审查的</w:t>
            </w:r>
            <w:r>
              <w:rPr>
                <w:rFonts w:hint="eastAsia" w:eastAsia="仿宋_GB2312"/>
                <w:szCs w:val="21"/>
                <w:lang w:eastAsia="zh-CN"/>
              </w:rPr>
              <w:t>竞投人</w:t>
            </w:r>
            <w:r>
              <w:rPr>
                <w:rFonts w:hint="eastAsia" w:eastAsia="仿宋_GB2312"/>
                <w:szCs w:val="21"/>
              </w:rPr>
              <w:t>少于三家时，本项目采购工作失败，采购人将按有关规定另行组织采购工作。</w:t>
            </w:r>
          </w:p>
          <w:p w14:paraId="5A9B5FF3">
            <w:pPr>
              <w:spacing w:line="240" w:lineRule="atLeast"/>
              <w:rPr>
                <w:rFonts w:hint="default" w:ascii="仿宋" w:hAnsi="仿宋" w:eastAsia="仿宋" w:cs="仿宋"/>
                <w:szCs w:val="21"/>
                <w:lang w:val="en-US" w:eastAsia="zh-CN"/>
              </w:rPr>
            </w:pPr>
            <w:r>
              <w:rPr>
                <w:rFonts w:hint="eastAsia" w:eastAsia="仿宋_GB2312"/>
                <w:szCs w:val="21"/>
              </w:rPr>
              <w:t>3. 本采购文件的最终解释权归采购人。</w:t>
            </w:r>
          </w:p>
        </w:tc>
      </w:tr>
    </w:tbl>
    <w:p w14:paraId="109E3948">
      <w:pPr>
        <w:rPr>
          <w:rFonts w:hint="eastAsia" w:ascii="仿宋" w:hAnsi="仿宋" w:eastAsia="仿宋" w:cs="仿宋"/>
        </w:rPr>
      </w:pPr>
    </w:p>
    <w:p w14:paraId="222287FE">
      <w:pPr>
        <w:sectPr>
          <w:pgSz w:w="11907" w:h="16840"/>
          <w:pgMar w:top="1440" w:right="1080" w:bottom="1440" w:left="1080" w:header="0" w:footer="0" w:gutter="0"/>
          <w:cols w:space="720" w:num="1"/>
        </w:sectPr>
      </w:pPr>
    </w:p>
    <w:p w14:paraId="3E4EE3DC">
      <w:pPr>
        <w:spacing w:line="359" w:lineRule="auto"/>
        <w:jc w:val="center"/>
        <w:rPr>
          <w:rFonts w:hint="default" w:ascii="Arial" w:eastAsia="宋体"/>
          <w:sz w:val="21"/>
          <w:lang w:val="en-US" w:eastAsia="zh-CN"/>
        </w:rPr>
      </w:pPr>
      <w:r>
        <w:rPr>
          <w:rFonts w:hint="eastAsia" w:ascii="宋体" w:hAnsi="宋体" w:eastAsia="宋体" w:cs="宋体"/>
          <w:b/>
          <w:bCs/>
          <w:spacing w:val="4"/>
          <w:sz w:val="35"/>
          <w:szCs w:val="35"/>
          <w:lang w:val="en-US" w:eastAsia="zh-CN"/>
        </w:rPr>
        <w:t>二、采购人需求</w:t>
      </w:r>
    </w:p>
    <w:p w14:paraId="49C788EB">
      <w:pPr>
        <w:kinsoku w:val="0"/>
        <w:autoSpaceDE w:val="0"/>
        <w:autoSpaceDN w:val="0"/>
        <w:adjustRightInd w:val="0"/>
        <w:snapToGrid w:val="0"/>
        <w:spacing w:before="78" w:line="223" w:lineRule="auto"/>
        <w:ind w:left="491"/>
        <w:jc w:val="left"/>
        <w:textAlignment w:val="baseline"/>
        <w:rPr>
          <w:rFonts w:hint="default"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2"/>
          <w:kern w:val="0"/>
          <w:sz w:val="28"/>
          <w:szCs w:val="28"/>
          <w:lang w:val="en-US" w:eastAsia="zh-CN" w:bidi="ar-SA"/>
        </w:rPr>
        <w:t>（一）项目目标</w:t>
      </w:r>
    </w:p>
    <w:p w14:paraId="5CDE5B8F">
      <w:pPr>
        <w:kinsoku w:val="0"/>
        <w:autoSpaceDE w:val="0"/>
        <w:autoSpaceDN w:val="0"/>
        <w:adjustRightInd w:val="0"/>
        <w:snapToGrid w:val="0"/>
        <w:spacing w:before="150" w:line="219" w:lineRule="auto"/>
        <w:ind w:firstLine="556" w:firstLineChars="200"/>
        <w:jc w:val="left"/>
        <w:textAlignment w:val="baseline"/>
        <w:outlineLvl w:val="1"/>
        <w:rPr>
          <w:rFonts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1"/>
          <w:kern w:val="0"/>
          <w:sz w:val="28"/>
          <w:szCs w:val="28"/>
          <w:lang w:val="en-US" w:eastAsia="en-US" w:bidi="ar-SA"/>
        </w:rPr>
        <w:t>提升欠费追缴工作效率，有效维护</w:t>
      </w:r>
      <w:r>
        <w:rPr>
          <w:rFonts w:hint="eastAsia" w:ascii="仿宋" w:hAnsi="仿宋" w:eastAsia="仿宋" w:cs="仿宋"/>
          <w:snapToGrid w:val="0"/>
          <w:color w:val="000000"/>
          <w:spacing w:val="-1"/>
          <w:kern w:val="0"/>
          <w:sz w:val="28"/>
          <w:szCs w:val="28"/>
          <w:lang w:val="en-US" w:eastAsia="zh-CN" w:bidi="ar-SA"/>
        </w:rPr>
        <w:t>广州市城投资产经营管理有限公司珠江新城分公司</w:t>
      </w:r>
      <w:r>
        <w:rPr>
          <w:rFonts w:hint="eastAsia" w:ascii="仿宋" w:hAnsi="仿宋" w:eastAsia="仿宋" w:cs="仿宋"/>
          <w:snapToGrid w:val="0"/>
          <w:color w:val="000000"/>
          <w:spacing w:val="-1"/>
          <w:kern w:val="0"/>
          <w:sz w:val="28"/>
          <w:szCs w:val="28"/>
          <w:lang w:val="en-US" w:eastAsia="en-US" w:bidi="ar-SA"/>
        </w:rPr>
        <w:t>权益</w:t>
      </w:r>
      <w:r>
        <w:rPr>
          <w:rFonts w:ascii="仿宋" w:hAnsi="仿宋" w:eastAsia="仿宋" w:cs="仿宋"/>
          <w:snapToGrid w:val="0"/>
          <w:color w:val="000000"/>
          <w:spacing w:val="-1"/>
          <w:kern w:val="0"/>
          <w:sz w:val="28"/>
          <w:szCs w:val="28"/>
          <w:lang w:val="en-US" w:eastAsia="en-US" w:bidi="ar-SA"/>
        </w:rPr>
        <w:t>。</w:t>
      </w:r>
    </w:p>
    <w:p w14:paraId="4C890A1D">
      <w:pPr>
        <w:kinsoku w:val="0"/>
        <w:autoSpaceDE w:val="0"/>
        <w:autoSpaceDN w:val="0"/>
        <w:adjustRightInd w:val="0"/>
        <w:snapToGrid w:val="0"/>
        <w:spacing w:before="78" w:line="220" w:lineRule="auto"/>
        <w:ind w:left="505"/>
        <w:jc w:val="left"/>
        <w:textAlignment w:val="baseline"/>
        <w:outlineLvl w:val="1"/>
        <w:rPr>
          <w:rFonts w:hint="eastAsia" w:ascii="仿宋" w:hAnsi="仿宋" w:eastAsia="仿宋" w:cs="仿宋"/>
          <w:snapToGrid w:val="0"/>
          <w:color w:val="000000"/>
          <w:spacing w:val="-3"/>
          <w:kern w:val="0"/>
          <w:sz w:val="28"/>
          <w:szCs w:val="28"/>
          <w:lang w:val="en-US" w:eastAsia="zh-CN" w:bidi="ar-SA"/>
        </w:rPr>
      </w:pPr>
      <w:r>
        <w:rPr>
          <w:rFonts w:hint="eastAsia" w:ascii="仿宋" w:hAnsi="仿宋" w:eastAsia="仿宋" w:cs="仿宋"/>
          <w:snapToGrid w:val="0"/>
          <w:color w:val="000000"/>
          <w:spacing w:val="-3"/>
          <w:kern w:val="0"/>
          <w:sz w:val="28"/>
          <w:szCs w:val="28"/>
          <w:lang w:val="en-US" w:eastAsia="zh-CN" w:bidi="ar-SA"/>
        </w:rPr>
        <w:t>（二）项目内容</w:t>
      </w:r>
    </w:p>
    <w:p w14:paraId="55E1D293">
      <w:pPr>
        <w:kinsoku w:val="0"/>
        <w:autoSpaceDE w:val="0"/>
        <w:autoSpaceDN w:val="0"/>
        <w:adjustRightInd w:val="0"/>
        <w:snapToGrid w:val="0"/>
        <w:spacing w:before="78" w:line="220" w:lineRule="auto"/>
        <w:ind w:left="505"/>
        <w:jc w:val="left"/>
        <w:textAlignment w:val="baseline"/>
        <w:outlineLvl w:val="1"/>
        <w:rPr>
          <w:rFonts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2"/>
          <w:kern w:val="0"/>
          <w:sz w:val="28"/>
          <w:szCs w:val="28"/>
          <w:lang w:val="en-US" w:eastAsia="en-US" w:bidi="ar-SA"/>
        </w:rPr>
        <w:t>花城汇北中南三区及海心沙11宗欠费案件</w:t>
      </w:r>
      <w:r>
        <w:rPr>
          <w:rFonts w:hint="eastAsia" w:ascii="仿宋" w:hAnsi="仿宋" w:eastAsia="仿宋" w:cs="仿宋"/>
          <w:snapToGrid w:val="0"/>
          <w:color w:val="000000"/>
          <w:spacing w:val="-2"/>
          <w:kern w:val="0"/>
          <w:sz w:val="28"/>
          <w:szCs w:val="28"/>
          <w:lang w:val="en-US" w:eastAsia="zh-CN" w:bidi="ar-SA"/>
        </w:rPr>
        <w:t>，</w:t>
      </w:r>
      <w:r>
        <w:rPr>
          <w:rFonts w:ascii="仿宋" w:hAnsi="仿宋" w:eastAsia="仿宋" w:cs="仿宋"/>
          <w:snapToGrid w:val="0"/>
          <w:color w:val="000000"/>
          <w:spacing w:val="-2"/>
          <w:kern w:val="0"/>
          <w:sz w:val="28"/>
          <w:szCs w:val="28"/>
          <w:lang w:val="en-US" w:eastAsia="en-US" w:bidi="ar-SA"/>
        </w:rPr>
        <w:t>分别为：</w:t>
      </w:r>
    </w:p>
    <w:p w14:paraId="0CA6A938">
      <w:pPr>
        <w:kinsoku w:val="0"/>
        <w:autoSpaceDE w:val="0"/>
        <w:autoSpaceDN w:val="0"/>
        <w:adjustRightInd w:val="0"/>
        <w:snapToGrid w:val="0"/>
        <w:spacing w:before="0" w:line="240" w:lineRule="auto"/>
        <w:ind w:left="0" w:right="0" w:firstLine="552" w:firstLineChars="200"/>
        <w:jc w:val="left"/>
        <w:textAlignment w:val="baseline"/>
        <w:outlineLvl w:val="1"/>
        <w:rPr>
          <w:rFonts w:hint="default" w:ascii="仿宋" w:hAnsi="仿宋" w:eastAsia="仿宋" w:cs="仿宋"/>
          <w:snapToGrid w:val="0"/>
          <w:color w:val="000000"/>
          <w:spacing w:val="-2"/>
          <w:kern w:val="0"/>
          <w:sz w:val="28"/>
          <w:szCs w:val="28"/>
          <w:lang w:val="en-US" w:eastAsia="zh-CN" w:bidi="ar-SA"/>
        </w:rPr>
      </w:pPr>
      <w:r>
        <w:rPr>
          <w:rFonts w:ascii="仿宋" w:hAnsi="仿宋" w:eastAsia="仿宋" w:cs="仿宋"/>
          <w:snapToGrid w:val="0"/>
          <w:color w:val="000000"/>
          <w:spacing w:val="-2"/>
          <w:kern w:val="0"/>
          <w:sz w:val="28"/>
          <w:szCs w:val="28"/>
          <w:lang w:val="en-US" w:eastAsia="en-US" w:bidi="ar-SA"/>
        </w:rPr>
        <w:t>（1）</w:t>
      </w:r>
      <w:r>
        <w:rPr>
          <w:rFonts w:hint="eastAsia" w:ascii="仿宋" w:hAnsi="仿宋" w:eastAsia="仿宋" w:cs="仿宋"/>
          <w:snapToGrid w:val="0"/>
          <w:color w:val="000000"/>
          <w:spacing w:val="-2"/>
          <w:kern w:val="0"/>
          <w:sz w:val="28"/>
          <w:szCs w:val="28"/>
          <w:lang w:val="en-US" w:eastAsia="zh-CN" w:bidi="ar-SA"/>
        </w:rPr>
        <w:t>广州禾和禄餐饮服务有限公司、张燕玲</w:t>
      </w:r>
    </w:p>
    <w:p w14:paraId="346467C5">
      <w:pPr>
        <w:kinsoku w:val="0"/>
        <w:autoSpaceDE w:val="0"/>
        <w:autoSpaceDN w:val="0"/>
        <w:adjustRightInd w:val="0"/>
        <w:snapToGrid w:val="0"/>
        <w:spacing w:before="0" w:line="240" w:lineRule="auto"/>
        <w:ind w:left="0" w:right="0" w:firstLine="552" w:firstLineChars="200"/>
        <w:jc w:val="left"/>
        <w:textAlignment w:val="baseline"/>
        <w:outlineLvl w:val="1"/>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（2）</w:t>
      </w:r>
      <w:r>
        <w:rPr>
          <w:rFonts w:hint="eastAsia" w:ascii="仿宋" w:hAnsi="仿宋" w:eastAsia="仿宋" w:cs="仿宋"/>
          <w:snapToGrid w:val="0"/>
          <w:color w:val="000000"/>
          <w:spacing w:val="-2"/>
          <w:kern w:val="0"/>
          <w:sz w:val="28"/>
          <w:szCs w:val="28"/>
          <w:lang w:val="en-US" w:eastAsia="en-US" w:bidi="ar-SA"/>
        </w:rPr>
        <w:t>广州朱迪先生企业管理有限公司、王建军</w:t>
      </w:r>
    </w:p>
    <w:p w14:paraId="0D412601">
      <w:pPr>
        <w:kinsoku w:val="0"/>
        <w:autoSpaceDE w:val="0"/>
        <w:autoSpaceDN w:val="0"/>
        <w:adjustRightInd w:val="0"/>
        <w:snapToGrid w:val="0"/>
        <w:spacing w:before="0" w:line="240" w:lineRule="auto"/>
        <w:ind w:firstLine="548" w:firstLineChars="200"/>
        <w:jc w:val="left"/>
        <w:textAlignment w:val="baseline"/>
        <w:outlineLvl w:val="1"/>
        <w:rPr>
          <w:rFonts w:hint="eastAsia"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（3）</w:t>
      </w:r>
      <w:r>
        <w:rPr>
          <w:rFonts w:hint="eastAsia" w:ascii="仿宋" w:hAnsi="仿宋" w:eastAsia="仿宋" w:cs="仿宋"/>
          <w:snapToGrid w:val="0"/>
          <w:color w:val="000000"/>
          <w:spacing w:val="-3"/>
          <w:kern w:val="0"/>
          <w:sz w:val="28"/>
          <w:szCs w:val="28"/>
          <w:lang w:val="en-US" w:eastAsia="en-US" w:bidi="ar-SA"/>
        </w:rPr>
        <w:t>广州苗翠餐饮有限公司</w:t>
      </w:r>
    </w:p>
    <w:p w14:paraId="1E2EF678">
      <w:pPr>
        <w:kinsoku w:val="0"/>
        <w:autoSpaceDE w:val="0"/>
        <w:autoSpaceDN w:val="0"/>
        <w:adjustRightInd w:val="0"/>
        <w:snapToGrid w:val="0"/>
        <w:spacing w:before="0" w:line="240" w:lineRule="auto"/>
        <w:ind w:firstLine="548" w:firstLineChars="200"/>
        <w:jc w:val="left"/>
        <w:textAlignment w:val="baseline"/>
        <w:outlineLvl w:val="1"/>
        <w:rPr>
          <w:rFonts w:hint="eastAsia" w:ascii="仿宋" w:hAnsi="仿宋" w:eastAsia="仿宋" w:cs="仿宋"/>
          <w:snapToGrid w:val="0"/>
          <w:color w:val="000000"/>
          <w:spacing w:val="-3"/>
          <w:kern w:val="0"/>
          <w:sz w:val="28"/>
          <w:szCs w:val="28"/>
          <w:lang w:val="en-US" w:eastAsia="zh-CN" w:bidi="ar-SA"/>
        </w:rPr>
      </w:pPr>
      <w:r>
        <w:rPr>
          <w:rFonts w:hint="eastAsia" w:ascii="仿宋" w:hAnsi="仿宋" w:eastAsia="仿宋" w:cs="仿宋"/>
          <w:snapToGrid w:val="0"/>
          <w:color w:val="000000"/>
          <w:spacing w:val="-3"/>
          <w:kern w:val="0"/>
          <w:sz w:val="28"/>
          <w:szCs w:val="28"/>
          <w:lang w:val="en-US" w:eastAsia="zh-CN" w:bidi="ar-SA"/>
        </w:rPr>
        <w:t>（4）蛙来哒（广州）餐饮管理有限公司</w:t>
      </w:r>
    </w:p>
    <w:p w14:paraId="4691B913">
      <w:pPr>
        <w:kinsoku w:val="0"/>
        <w:autoSpaceDE w:val="0"/>
        <w:autoSpaceDN w:val="0"/>
        <w:adjustRightInd w:val="0"/>
        <w:snapToGrid w:val="0"/>
        <w:spacing w:before="0" w:line="240" w:lineRule="auto"/>
        <w:ind w:firstLine="548" w:firstLineChars="200"/>
        <w:jc w:val="left"/>
        <w:textAlignment w:val="baseline"/>
        <w:outlineLvl w:val="1"/>
        <w:rPr>
          <w:rFonts w:hint="eastAsia" w:ascii="仿宋" w:hAnsi="仿宋" w:eastAsia="仿宋" w:cs="仿宋"/>
          <w:snapToGrid w:val="0"/>
          <w:color w:val="000000"/>
          <w:spacing w:val="-3"/>
          <w:kern w:val="0"/>
          <w:sz w:val="28"/>
          <w:szCs w:val="28"/>
          <w:lang w:val="en-US" w:eastAsia="zh-CN" w:bidi="ar-SA"/>
        </w:rPr>
      </w:pPr>
      <w:r>
        <w:rPr>
          <w:rFonts w:hint="eastAsia" w:ascii="仿宋" w:hAnsi="仿宋" w:eastAsia="仿宋" w:cs="仿宋"/>
          <w:snapToGrid w:val="0"/>
          <w:color w:val="000000"/>
          <w:spacing w:val="-3"/>
          <w:kern w:val="0"/>
          <w:sz w:val="28"/>
          <w:szCs w:val="28"/>
          <w:lang w:val="en-US" w:eastAsia="zh-CN" w:bidi="ar-SA"/>
        </w:rPr>
        <w:t>（5）广州城汇餐饮管理有限公司</w:t>
      </w:r>
    </w:p>
    <w:p w14:paraId="26B98E42">
      <w:pPr>
        <w:kinsoku w:val="0"/>
        <w:autoSpaceDE w:val="0"/>
        <w:autoSpaceDN w:val="0"/>
        <w:adjustRightInd w:val="0"/>
        <w:snapToGrid w:val="0"/>
        <w:spacing w:before="0" w:line="240" w:lineRule="auto"/>
        <w:ind w:firstLine="548" w:firstLineChars="200"/>
        <w:jc w:val="left"/>
        <w:textAlignment w:val="baseline"/>
        <w:outlineLvl w:val="1"/>
        <w:rPr>
          <w:rFonts w:hint="eastAsia" w:ascii="仿宋" w:hAnsi="仿宋" w:eastAsia="仿宋" w:cs="仿宋"/>
          <w:snapToGrid w:val="0"/>
          <w:color w:val="000000"/>
          <w:spacing w:val="-3"/>
          <w:kern w:val="0"/>
          <w:sz w:val="28"/>
          <w:szCs w:val="28"/>
          <w:lang w:val="en-US" w:eastAsia="zh-CN" w:bidi="ar-SA"/>
        </w:rPr>
      </w:pPr>
      <w:r>
        <w:rPr>
          <w:rFonts w:hint="eastAsia" w:ascii="仿宋" w:hAnsi="仿宋" w:eastAsia="仿宋" w:cs="仿宋"/>
          <w:snapToGrid w:val="0"/>
          <w:color w:val="000000"/>
          <w:spacing w:val="-3"/>
          <w:kern w:val="0"/>
          <w:sz w:val="28"/>
          <w:szCs w:val="28"/>
          <w:lang w:val="en-US" w:eastAsia="zh-CN" w:bidi="ar-SA"/>
        </w:rPr>
        <w:t>（6）广州市天河区猎德东篱仙茗茶饮店、深圳茶姬企业管理有限公司</w:t>
      </w:r>
    </w:p>
    <w:p w14:paraId="29126BFD">
      <w:pPr>
        <w:kinsoku w:val="0"/>
        <w:autoSpaceDE w:val="0"/>
        <w:autoSpaceDN w:val="0"/>
        <w:adjustRightInd w:val="0"/>
        <w:snapToGrid w:val="0"/>
        <w:spacing w:before="0" w:line="240" w:lineRule="auto"/>
        <w:ind w:firstLine="548" w:firstLineChars="200"/>
        <w:jc w:val="left"/>
        <w:textAlignment w:val="baseline"/>
        <w:outlineLvl w:val="1"/>
        <w:rPr>
          <w:rFonts w:hint="eastAsia" w:ascii="仿宋" w:hAnsi="仿宋" w:eastAsia="仿宋" w:cs="仿宋"/>
          <w:snapToGrid w:val="0"/>
          <w:color w:val="000000"/>
          <w:spacing w:val="-3"/>
          <w:kern w:val="0"/>
          <w:sz w:val="28"/>
          <w:szCs w:val="28"/>
          <w:lang w:val="en-US" w:eastAsia="zh-CN" w:bidi="ar-SA"/>
        </w:rPr>
      </w:pPr>
      <w:r>
        <w:rPr>
          <w:rFonts w:hint="eastAsia" w:ascii="仿宋" w:hAnsi="仿宋" w:eastAsia="仿宋" w:cs="仿宋"/>
          <w:snapToGrid w:val="0"/>
          <w:color w:val="000000"/>
          <w:spacing w:val="-3"/>
          <w:kern w:val="0"/>
          <w:sz w:val="28"/>
          <w:szCs w:val="28"/>
          <w:lang w:val="en-US" w:eastAsia="zh-CN" w:bidi="ar-SA"/>
        </w:rPr>
        <w:t>（7）广州市至托商贸有限公司</w:t>
      </w:r>
    </w:p>
    <w:p w14:paraId="33E3FB08">
      <w:pPr>
        <w:kinsoku w:val="0"/>
        <w:autoSpaceDE w:val="0"/>
        <w:autoSpaceDN w:val="0"/>
        <w:adjustRightInd w:val="0"/>
        <w:snapToGrid w:val="0"/>
        <w:spacing w:before="0" w:line="240" w:lineRule="auto"/>
        <w:ind w:firstLine="548" w:firstLineChars="200"/>
        <w:jc w:val="left"/>
        <w:textAlignment w:val="baseline"/>
        <w:outlineLvl w:val="1"/>
        <w:rPr>
          <w:rFonts w:hint="eastAsia" w:ascii="仿宋" w:hAnsi="仿宋" w:eastAsia="仿宋" w:cs="仿宋"/>
          <w:snapToGrid w:val="0"/>
          <w:color w:val="000000"/>
          <w:spacing w:val="-3"/>
          <w:kern w:val="0"/>
          <w:sz w:val="28"/>
          <w:szCs w:val="28"/>
          <w:lang w:val="en-US" w:eastAsia="zh-CN" w:bidi="ar-SA"/>
        </w:rPr>
      </w:pPr>
      <w:r>
        <w:rPr>
          <w:rFonts w:hint="eastAsia" w:ascii="仿宋" w:hAnsi="仿宋" w:eastAsia="仿宋" w:cs="仿宋"/>
          <w:snapToGrid w:val="0"/>
          <w:color w:val="000000"/>
          <w:spacing w:val="-3"/>
          <w:kern w:val="0"/>
          <w:sz w:val="28"/>
          <w:szCs w:val="28"/>
          <w:lang w:val="en-US" w:eastAsia="zh-CN" w:bidi="ar-SA"/>
        </w:rPr>
        <w:t>（8）广州市磁场策划有限公司、阳大蓉</w:t>
      </w:r>
    </w:p>
    <w:p w14:paraId="09D6F82C">
      <w:pPr>
        <w:kinsoku w:val="0"/>
        <w:autoSpaceDE w:val="0"/>
        <w:autoSpaceDN w:val="0"/>
        <w:adjustRightInd w:val="0"/>
        <w:snapToGrid w:val="0"/>
        <w:spacing w:before="0" w:line="240" w:lineRule="auto"/>
        <w:ind w:firstLine="548" w:firstLineChars="200"/>
        <w:jc w:val="left"/>
        <w:textAlignment w:val="baseline"/>
        <w:outlineLvl w:val="1"/>
        <w:rPr>
          <w:rFonts w:hint="default" w:ascii="仿宋" w:hAnsi="仿宋" w:eastAsia="仿宋" w:cs="仿宋"/>
          <w:snapToGrid w:val="0"/>
          <w:color w:val="000000"/>
          <w:spacing w:val="-3"/>
          <w:kern w:val="0"/>
          <w:sz w:val="28"/>
          <w:szCs w:val="28"/>
          <w:lang w:val="en-US" w:eastAsia="zh-CN" w:bidi="ar-SA"/>
        </w:rPr>
      </w:pPr>
      <w:r>
        <w:rPr>
          <w:rFonts w:hint="eastAsia" w:ascii="仿宋" w:hAnsi="仿宋" w:eastAsia="仿宋" w:cs="仿宋"/>
          <w:snapToGrid w:val="0"/>
          <w:color w:val="000000"/>
          <w:spacing w:val="-3"/>
          <w:kern w:val="0"/>
          <w:sz w:val="28"/>
          <w:szCs w:val="28"/>
          <w:lang w:val="en-US" w:eastAsia="zh-CN" w:bidi="ar-SA"/>
        </w:rPr>
        <w:t>（9）海心汇控股（广州）有限公司、骆小燕</w:t>
      </w:r>
    </w:p>
    <w:p w14:paraId="31BC1976">
      <w:pPr>
        <w:kinsoku w:val="0"/>
        <w:autoSpaceDE w:val="0"/>
        <w:autoSpaceDN w:val="0"/>
        <w:adjustRightInd w:val="0"/>
        <w:snapToGrid w:val="0"/>
        <w:spacing w:before="0" w:line="240" w:lineRule="auto"/>
        <w:ind w:firstLine="548" w:firstLineChars="200"/>
        <w:jc w:val="left"/>
        <w:textAlignment w:val="baseline"/>
        <w:outlineLvl w:val="1"/>
        <w:rPr>
          <w:rFonts w:hint="eastAsia" w:ascii="仿宋" w:hAnsi="仿宋" w:eastAsia="仿宋" w:cs="仿宋"/>
          <w:snapToGrid w:val="0"/>
          <w:color w:val="000000"/>
          <w:spacing w:val="-3"/>
          <w:kern w:val="0"/>
          <w:sz w:val="28"/>
          <w:szCs w:val="28"/>
          <w:lang w:val="en-US" w:eastAsia="zh-CN" w:bidi="ar-SA"/>
        </w:rPr>
      </w:pPr>
      <w:r>
        <w:rPr>
          <w:rFonts w:hint="eastAsia" w:ascii="仿宋" w:hAnsi="仿宋" w:eastAsia="仿宋" w:cs="仿宋"/>
          <w:snapToGrid w:val="0"/>
          <w:color w:val="000000"/>
          <w:spacing w:val="-3"/>
          <w:kern w:val="0"/>
          <w:sz w:val="28"/>
          <w:szCs w:val="28"/>
          <w:lang w:val="en-US" w:eastAsia="zh-CN" w:bidi="ar-SA"/>
        </w:rPr>
        <w:t>（10）宇视无忧(广州)品牌管理有限公司、梁冬</w:t>
      </w:r>
    </w:p>
    <w:p w14:paraId="3A24F584">
      <w:pPr>
        <w:kinsoku w:val="0"/>
        <w:autoSpaceDE w:val="0"/>
        <w:autoSpaceDN w:val="0"/>
        <w:adjustRightInd w:val="0"/>
        <w:snapToGrid w:val="0"/>
        <w:spacing w:before="0" w:line="240" w:lineRule="auto"/>
        <w:ind w:firstLine="548" w:firstLineChars="200"/>
        <w:jc w:val="left"/>
        <w:textAlignment w:val="baseline"/>
        <w:outlineLvl w:val="1"/>
        <w:rPr>
          <w:rFonts w:hint="default" w:ascii="仿宋" w:hAnsi="仿宋" w:eastAsia="仿宋" w:cs="仿宋"/>
          <w:snapToGrid w:val="0"/>
          <w:color w:val="000000"/>
          <w:spacing w:val="-3"/>
          <w:kern w:val="0"/>
          <w:sz w:val="28"/>
          <w:szCs w:val="28"/>
          <w:lang w:val="en-US" w:eastAsia="zh-CN" w:bidi="ar-SA"/>
        </w:rPr>
      </w:pPr>
      <w:r>
        <w:rPr>
          <w:rFonts w:hint="eastAsia" w:ascii="仿宋" w:hAnsi="仿宋" w:eastAsia="仿宋" w:cs="仿宋"/>
          <w:snapToGrid w:val="0"/>
          <w:color w:val="000000"/>
          <w:spacing w:val="-3"/>
          <w:kern w:val="0"/>
          <w:sz w:val="28"/>
          <w:szCs w:val="28"/>
          <w:lang w:val="en-US" w:eastAsia="zh-CN" w:bidi="ar-SA"/>
        </w:rPr>
        <w:t>（11）广州商盟企业管理有限公司、骆小燕</w:t>
      </w:r>
    </w:p>
    <w:p w14:paraId="0AC24153">
      <w:pPr>
        <w:kinsoku w:val="0"/>
        <w:autoSpaceDE w:val="0"/>
        <w:autoSpaceDN w:val="0"/>
        <w:adjustRightInd w:val="0"/>
        <w:snapToGrid w:val="0"/>
        <w:spacing w:before="153" w:line="221" w:lineRule="auto"/>
        <w:ind w:firstLine="556" w:firstLineChars="200"/>
        <w:jc w:val="left"/>
        <w:textAlignment w:val="baseline"/>
        <w:outlineLvl w:val="1"/>
        <w:sectPr>
          <w:pgSz w:w="11907" w:h="16840"/>
          <w:pgMar w:top="1275" w:right="1327" w:bottom="0" w:left="1356" w:header="0" w:footer="0" w:gutter="0"/>
          <w:cols w:space="720" w:num="1"/>
        </w:sectPr>
      </w:pPr>
      <w:r>
        <w:rPr>
          <w:rFonts w:ascii="仿宋" w:hAnsi="仿宋" w:eastAsia="仿宋" w:cs="仿宋"/>
          <w:snapToGrid w:val="0"/>
          <w:color w:val="000000"/>
          <w:spacing w:val="-1"/>
          <w:kern w:val="0"/>
          <w:sz w:val="28"/>
          <w:szCs w:val="28"/>
          <w:lang w:val="en-US" w:eastAsia="en-US" w:bidi="ar-SA"/>
        </w:rPr>
        <w:t>招选一家服务单位</w:t>
      </w:r>
      <w:r>
        <w:rPr>
          <w:rFonts w:hint="eastAsia" w:ascii="仿宋" w:hAnsi="仿宋" w:eastAsia="仿宋" w:cs="仿宋"/>
          <w:snapToGrid w:val="0"/>
          <w:color w:val="000000"/>
          <w:spacing w:val="-1"/>
          <w:kern w:val="0"/>
          <w:sz w:val="28"/>
          <w:szCs w:val="28"/>
          <w:lang w:val="en-US" w:eastAsia="zh-CN" w:bidi="ar-SA"/>
        </w:rPr>
        <w:t>为追讨上述租户租金欠款、综合管理费欠款提供法律服务，成交单位委派律师在一审、二审及执行阶段中担任招选单位的委托代理人。</w:t>
      </w:r>
    </w:p>
    <w:p w14:paraId="5431BD52">
      <w:pPr>
        <w:widowControl w:val="0"/>
        <w:kinsoku/>
        <w:autoSpaceDE/>
        <w:autoSpaceDN/>
        <w:adjustRightInd/>
        <w:snapToGrid/>
        <w:spacing w:line="240" w:lineRule="auto"/>
        <w:jc w:val="left"/>
        <w:textAlignment w:val="auto"/>
        <w:rPr>
          <w:rFonts w:hint="eastAsia" w:ascii="宋体" w:hAnsi="宋体" w:eastAsia="宋体" w:cs="宋体"/>
          <w:snapToGrid/>
          <w:kern w:val="2"/>
          <w:szCs w:val="24"/>
          <w:lang w:eastAsia="zh-CN"/>
        </w:rPr>
      </w:pPr>
      <w:r>
        <w:rPr>
          <w:rFonts w:hint="eastAsia" w:ascii="宋体" w:hAnsi="宋体" w:eastAsia="宋体" w:cs="宋体"/>
          <w:b/>
          <w:snapToGrid/>
          <w:kern w:val="2"/>
          <w:sz w:val="32"/>
          <w:szCs w:val="32"/>
          <w:lang w:val="en-US" w:eastAsia="zh-CN"/>
        </w:rPr>
        <w:t>三</w:t>
      </w:r>
      <w:r>
        <w:rPr>
          <w:rFonts w:hint="eastAsia" w:ascii="宋体" w:hAnsi="宋体" w:eastAsia="宋体" w:cs="宋体"/>
          <w:b/>
          <w:snapToGrid/>
          <w:kern w:val="2"/>
          <w:sz w:val="32"/>
          <w:szCs w:val="32"/>
          <w:lang w:eastAsia="zh-CN"/>
        </w:rPr>
        <w:t>、评审/选定方法及标准</w:t>
      </w:r>
    </w:p>
    <w:p w14:paraId="44597C81">
      <w:pPr>
        <w:widowControl w:val="0"/>
        <w:kinsoku/>
        <w:autoSpaceDE/>
        <w:autoSpaceDN/>
        <w:adjustRightInd/>
        <w:snapToGrid/>
        <w:spacing w:line="240" w:lineRule="auto"/>
        <w:jc w:val="both"/>
        <w:textAlignment w:val="auto"/>
        <w:rPr>
          <w:rFonts w:hint="eastAsia" w:ascii="宋体" w:hAnsi="宋体" w:eastAsia="宋体" w:cs="宋体"/>
          <w:snapToGrid/>
          <w:kern w:val="2"/>
          <w:szCs w:val="24"/>
          <w:lang w:eastAsia="zh-CN"/>
        </w:rPr>
      </w:pPr>
    </w:p>
    <w:tbl>
      <w:tblPr>
        <w:tblStyle w:val="14"/>
        <w:tblW w:w="92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1871"/>
        <w:gridCol w:w="6624"/>
      </w:tblGrid>
      <w:tr w14:paraId="73B93B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FB37E2F">
            <w:pPr>
              <w:widowControl w:val="0"/>
              <w:kinsoku/>
              <w:autoSpaceDE/>
              <w:autoSpaceDN/>
              <w:adjustRightInd/>
              <w:snapToGrid/>
              <w:spacing w:line="240" w:lineRule="atLeast"/>
              <w:ind w:right="-358"/>
              <w:jc w:val="both"/>
              <w:textAlignment w:val="auto"/>
              <w:rPr>
                <w:rFonts w:hint="eastAsia" w:ascii="宋体" w:hAnsi="宋体" w:eastAsia="宋体" w:cs="宋体"/>
                <w:bCs/>
                <w:snapToGrid/>
                <w:kern w:val="2"/>
                <w:szCs w:val="21"/>
                <w:lang w:eastAsia="zh-CN"/>
              </w:rPr>
            </w:pPr>
            <w:r>
              <w:rPr>
                <w:rFonts w:hint="eastAsia" w:ascii="宋体" w:hAnsi="宋体" w:eastAsia="宋体" w:cs="宋体"/>
                <w:bCs/>
                <w:snapToGrid/>
                <w:kern w:val="2"/>
                <w:szCs w:val="21"/>
                <w:lang w:eastAsia="zh-CN"/>
              </w:rPr>
              <w:t>项 号</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3FC44CE">
            <w:pPr>
              <w:widowControl w:val="0"/>
              <w:kinsoku/>
              <w:autoSpaceDE/>
              <w:autoSpaceDN/>
              <w:adjustRightInd/>
              <w:snapToGrid/>
              <w:spacing w:line="240" w:lineRule="atLeast"/>
              <w:jc w:val="center"/>
              <w:textAlignment w:val="auto"/>
              <w:rPr>
                <w:rFonts w:hint="eastAsia" w:ascii="宋体" w:hAnsi="宋体" w:eastAsia="宋体" w:cs="宋体"/>
                <w:bCs/>
                <w:snapToGrid/>
                <w:kern w:val="2"/>
                <w:szCs w:val="21"/>
                <w:lang w:eastAsia="zh-CN"/>
              </w:rPr>
            </w:pPr>
            <w:r>
              <w:rPr>
                <w:rFonts w:hint="eastAsia" w:ascii="宋体" w:hAnsi="宋体" w:eastAsia="宋体" w:cs="宋体"/>
                <w:bCs/>
                <w:snapToGrid/>
                <w:kern w:val="2"/>
                <w:szCs w:val="21"/>
                <w:lang w:eastAsia="zh-CN"/>
              </w:rPr>
              <w:t>内    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46B8E0C4">
            <w:pPr>
              <w:widowControl w:val="0"/>
              <w:tabs>
                <w:tab w:val="left" w:pos="1180"/>
              </w:tabs>
              <w:kinsoku/>
              <w:autoSpaceDE/>
              <w:autoSpaceDN/>
              <w:adjustRightInd/>
              <w:snapToGrid/>
              <w:spacing w:line="240" w:lineRule="atLeast"/>
              <w:jc w:val="center"/>
              <w:textAlignment w:val="auto"/>
              <w:rPr>
                <w:rFonts w:hint="eastAsia" w:ascii="宋体" w:hAnsi="宋体" w:eastAsia="宋体" w:cs="宋体"/>
                <w:bCs/>
                <w:snapToGrid/>
                <w:kern w:val="2"/>
                <w:szCs w:val="21"/>
                <w:lang w:eastAsia="zh-CN"/>
              </w:rPr>
            </w:pPr>
            <w:r>
              <w:rPr>
                <w:rFonts w:hint="eastAsia" w:ascii="宋体" w:hAnsi="宋体" w:eastAsia="宋体" w:cs="宋体"/>
                <w:bCs/>
                <w:snapToGrid/>
                <w:kern w:val="2"/>
                <w:szCs w:val="21"/>
                <w:lang w:eastAsia="zh-CN"/>
              </w:rPr>
              <w:t>说明与要求</w:t>
            </w:r>
          </w:p>
        </w:tc>
      </w:tr>
      <w:tr w14:paraId="03E6B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56B52800">
            <w:pPr>
              <w:widowControl w:val="0"/>
              <w:kinsoku/>
              <w:autoSpaceDE/>
              <w:autoSpaceDN/>
              <w:adjustRightInd/>
              <w:snapToGrid/>
              <w:spacing w:line="240" w:lineRule="atLeast"/>
              <w:jc w:val="center"/>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0F50FF71">
            <w:pPr>
              <w:widowControl w:val="0"/>
              <w:kinsoku/>
              <w:autoSpaceDE/>
              <w:autoSpaceDN/>
              <w:adjustRightInd/>
              <w:snapToGrid/>
              <w:spacing w:line="240" w:lineRule="atLeast"/>
              <w:jc w:val="center"/>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评审办法</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267B6A86">
            <w:pPr>
              <w:widowControl w:val="0"/>
              <w:kinsoku/>
              <w:autoSpaceDE/>
              <w:autoSpaceDN/>
              <w:adjustRightInd/>
              <w:snapToGrid/>
              <w:spacing w:line="240" w:lineRule="atLeast"/>
              <w:jc w:val="left"/>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综合评分法（具体评审标准见后附表）</w:t>
            </w:r>
          </w:p>
        </w:tc>
      </w:tr>
      <w:tr w14:paraId="0C856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9"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75A9BD4E">
            <w:pPr>
              <w:widowControl w:val="0"/>
              <w:kinsoku/>
              <w:autoSpaceDE/>
              <w:autoSpaceDN/>
              <w:adjustRightInd/>
              <w:snapToGrid/>
              <w:spacing w:line="240" w:lineRule="atLeast"/>
              <w:jc w:val="center"/>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074D726">
            <w:pPr>
              <w:widowControl w:val="0"/>
              <w:kinsoku/>
              <w:autoSpaceDE/>
              <w:autoSpaceDN/>
              <w:adjustRightInd/>
              <w:snapToGrid/>
              <w:spacing w:line="240" w:lineRule="atLeast"/>
              <w:jc w:val="center"/>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评审原则</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74AFE1B">
            <w:pPr>
              <w:widowControl/>
              <w:spacing w:line="240" w:lineRule="atLeas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按有关法律、法律及相关规定组建评审小组负责本次采购项目具体评审工作，本着公平、公正、科学、择优的原则，按照采购文件的要求/标准推荐评审结果。</w:t>
            </w:r>
          </w:p>
        </w:tc>
      </w:tr>
      <w:tr w14:paraId="6B6E6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6D8EFBE0">
            <w:pPr>
              <w:widowControl w:val="0"/>
              <w:kinsoku/>
              <w:autoSpaceDE/>
              <w:autoSpaceDN/>
              <w:adjustRightInd/>
              <w:snapToGrid/>
              <w:spacing w:line="240" w:lineRule="atLeast"/>
              <w:jc w:val="center"/>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46398DC">
            <w:pPr>
              <w:widowControl w:val="0"/>
              <w:kinsoku/>
              <w:autoSpaceDE/>
              <w:autoSpaceDN/>
              <w:adjustRightInd/>
              <w:snapToGrid/>
              <w:spacing w:line="240" w:lineRule="atLeast"/>
              <w:jc w:val="center"/>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资格/符合性审查</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2605DD6">
            <w:pPr>
              <w:widowControl/>
              <w:spacing w:line="240" w:lineRule="atLeas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 评审小组将根据采购文件的规定，对各响应文件进行资格及符合性审查。（具体审查标准见后附表）</w:t>
            </w:r>
          </w:p>
          <w:p w14:paraId="51FC1C17">
            <w:pPr>
              <w:widowControl/>
              <w:spacing w:line="240" w:lineRule="atLeas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 符合性审查结论意见采取少数服从多数原则，即超过半数评审人员的结论为“通过”则该竞投人通过资格及符合性审查，否则不通过。</w:t>
            </w:r>
          </w:p>
          <w:p w14:paraId="7D7BC7A8">
            <w:pPr>
              <w:widowControl/>
              <w:spacing w:line="240" w:lineRule="atLeas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 不能通过资格及符合性审查的响应文件，不得参与综合评审排序。</w:t>
            </w:r>
          </w:p>
        </w:tc>
      </w:tr>
      <w:tr w14:paraId="17172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53D41C2D">
            <w:pPr>
              <w:widowControl w:val="0"/>
              <w:kinsoku/>
              <w:autoSpaceDE/>
              <w:autoSpaceDN/>
              <w:adjustRightInd/>
              <w:snapToGrid/>
              <w:spacing w:line="240" w:lineRule="atLeast"/>
              <w:jc w:val="center"/>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333E8DF">
            <w:pPr>
              <w:widowControl w:val="0"/>
              <w:kinsoku/>
              <w:autoSpaceDE/>
              <w:autoSpaceDN/>
              <w:adjustRightInd/>
              <w:snapToGrid/>
              <w:spacing w:line="240" w:lineRule="atLeast"/>
              <w:jc w:val="center"/>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响应文件的澄清</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8A08C77">
            <w:pPr>
              <w:widowControl/>
              <w:spacing w:line="240" w:lineRule="atLeas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1.对响应文件中含义不明确、同类问题表述不一致或者有明显文字和计算错误的内容，评审小组可以书面形式要求竞投人作出必要的澄清、说明或者纠正。</w:t>
            </w:r>
          </w:p>
          <w:p w14:paraId="07DF8C98">
            <w:pPr>
              <w:widowControl/>
              <w:spacing w:line="240" w:lineRule="atLeas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2.竞投人的澄清、说明或者补正应当采用书面形式，由其授权的代表签字，并不得超出响应文件的范围或者改变响应文件的实质性内容。</w:t>
            </w:r>
          </w:p>
          <w:p w14:paraId="43804568">
            <w:pPr>
              <w:widowControl/>
              <w:spacing w:line="240" w:lineRule="atLeas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3.除上述规定的情形之外，评审小组在评审过程中，不得接收来自评审现场以外的任何形式的文件资料。</w:t>
            </w:r>
          </w:p>
        </w:tc>
      </w:tr>
      <w:tr w14:paraId="6828D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4"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1555B1BA">
            <w:pPr>
              <w:widowControl w:val="0"/>
              <w:kinsoku/>
              <w:autoSpaceDE/>
              <w:autoSpaceDN/>
              <w:adjustRightInd/>
              <w:snapToGrid/>
              <w:spacing w:line="240" w:lineRule="atLeast"/>
              <w:jc w:val="center"/>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C3F03D1">
            <w:pPr>
              <w:widowControl w:val="0"/>
              <w:kinsoku/>
              <w:autoSpaceDE/>
              <w:autoSpaceDN/>
              <w:adjustRightInd/>
              <w:snapToGrid/>
              <w:spacing w:line="240" w:lineRule="atLeast"/>
              <w:jc w:val="center"/>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评审标准</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05C689F7">
            <w:pPr>
              <w:widowControl/>
              <w:spacing w:line="240" w:lineRule="atLeas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1.由评审人员对所有有效响应文件进行评审和排序。（具体评审标准见后附表） </w:t>
            </w:r>
          </w:p>
          <w:p w14:paraId="404ABDEF">
            <w:pPr>
              <w:widowControl/>
              <w:spacing w:line="240" w:lineRule="atLeas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2.得分按四舍五入原则精确到小数点后两位。将综合评分由高到低顺序排列。综合评分相同的</w:t>
            </w:r>
            <w:r>
              <w:rPr>
                <w:rFonts w:hint="eastAsia" w:ascii="宋体" w:hAnsi="宋体" w:eastAsia="宋体" w:cs="宋体"/>
                <w:color w:val="auto"/>
                <w:kern w:val="2"/>
                <w:sz w:val="21"/>
                <w:szCs w:val="21"/>
                <w:lang w:val="en-US" w:eastAsia="zh-CN" w:bidi="ar-SA"/>
              </w:rPr>
              <w:t>，按报价由</w:t>
            </w:r>
            <w:r>
              <w:rPr>
                <w:rFonts w:hint="eastAsia" w:ascii="宋体" w:hAnsi="宋体" w:eastAsia="宋体" w:cs="宋体"/>
                <w:kern w:val="2"/>
                <w:sz w:val="21"/>
                <w:szCs w:val="21"/>
                <w:lang w:val="en-US" w:eastAsia="zh-CN" w:bidi="ar-SA"/>
              </w:rPr>
              <w:t>低到高顺序排列；综合评分相同，且报价相同的，按商务评审的评分由高到低顺序排列。综合评分相同，且报价和商务评审评分均相同的，名次由评审人员会抽签决定。评审人员会按上述排列向采购人推荐前3名为中选候选人。</w:t>
            </w:r>
          </w:p>
        </w:tc>
      </w:tr>
    </w:tbl>
    <w:p w14:paraId="3917C6BC">
      <w:pPr>
        <w:widowControl w:val="0"/>
        <w:kinsoku/>
        <w:autoSpaceDE/>
        <w:autoSpaceDN/>
        <w:adjustRightInd/>
        <w:snapToGrid/>
        <w:spacing w:line="240" w:lineRule="auto"/>
        <w:jc w:val="both"/>
        <w:textAlignment w:val="auto"/>
        <w:rPr>
          <w:rFonts w:hint="eastAsia" w:ascii="宋体" w:hAnsi="宋体" w:eastAsia="宋体" w:cs="宋体"/>
          <w:snapToGrid/>
          <w:kern w:val="2"/>
          <w:szCs w:val="24"/>
          <w:lang w:eastAsia="zh-CN"/>
        </w:rPr>
      </w:pPr>
    </w:p>
    <w:p w14:paraId="563E84A8">
      <w:pPr>
        <w:widowControl w:val="0"/>
        <w:kinsoku/>
        <w:autoSpaceDE/>
        <w:autoSpaceDN/>
        <w:adjustRightInd/>
        <w:snapToGrid/>
        <w:spacing w:line="240" w:lineRule="auto"/>
        <w:jc w:val="both"/>
        <w:textAlignment w:val="auto"/>
        <w:rPr>
          <w:rFonts w:hint="eastAsia" w:ascii="宋体" w:hAnsi="宋体" w:eastAsia="宋体" w:cs="宋体"/>
          <w:snapToGrid/>
          <w:kern w:val="2"/>
          <w:szCs w:val="24"/>
          <w:lang w:eastAsia="zh-CN"/>
        </w:rPr>
      </w:pPr>
    </w:p>
    <w:p w14:paraId="7B5EFC16">
      <w:pPr>
        <w:spacing w:line="240" w:lineRule="auto"/>
        <w:rPr>
          <w:rFonts w:hint="eastAsia" w:ascii="宋体" w:hAnsi="宋体" w:eastAsia="宋体" w:cs="宋体"/>
          <w:b w:val="0"/>
          <w:sz w:val="24"/>
          <w:szCs w:val="24"/>
        </w:rPr>
        <w:sectPr>
          <w:pgSz w:w="11906" w:h="16838"/>
          <w:pgMar w:top="1440" w:right="1701" w:bottom="1440" w:left="1701" w:header="851" w:footer="992" w:gutter="0"/>
          <w:cols w:space="720" w:num="1"/>
          <w:docGrid w:type="lines" w:linePitch="312" w:charSpace="0"/>
        </w:sectPr>
      </w:pPr>
      <w:bookmarkStart w:id="5" w:name="_Toc334797765"/>
    </w:p>
    <w:p w14:paraId="671E6369">
      <w:pPr>
        <w:keepNext/>
        <w:keepLines/>
        <w:widowControl w:val="0"/>
        <w:spacing w:before="260" w:after="260" w:line="240" w:lineRule="auto"/>
        <w:jc w:val="both"/>
        <w:outlineLvl w:val="1"/>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评审/选定方法及标准-附表：</w:t>
      </w:r>
    </w:p>
    <w:p w14:paraId="572B62D1">
      <w:pPr>
        <w:keepNext/>
        <w:keepLines/>
        <w:widowControl w:val="0"/>
        <w:spacing w:before="260" w:after="260" w:line="240" w:lineRule="auto"/>
        <w:jc w:val="center"/>
        <w:outlineLvl w:val="1"/>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资格及符合性审查表</w:t>
      </w:r>
      <w:bookmarkEnd w:id="5"/>
    </w:p>
    <w:p w14:paraId="5CB30875">
      <w:pPr>
        <w:widowControl/>
        <w:spacing w:before="100" w:beforeLines="0" w:beforeAutospacing="1" w:after="100" w:afterLines="0" w:afterAutospacing="1" w:line="312" w:lineRule="auto"/>
        <w:ind w:firstLine="0" w:firstLineChars="0"/>
        <w:jc w:val="both"/>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项目名称：</w:t>
      </w:r>
      <w:r>
        <w:rPr>
          <w:rFonts w:hint="eastAsia" w:ascii="宋体" w:hAnsi="宋体" w:eastAsia="宋体" w:cs="宋体"/>
          <w:kern w:val="0"/>
          <w:sz w:val="24"/>
          <w:szCs w:val="24"/>
          <w:lang w:val="en-US" w:eastAsia="zh-CN" w:bidi="ar-SA"/>
        </w:rPr>
        <w:t>花城汇北中南三区及海心沙11宗欠费案件专项律师代理服务采购项目</w:t>
      </w:r>
      <w:r>
        <w:rPr>
          <w:rFonts w:hint="eastAsia" w:ascii="宋体" w:hAnsi="宋体" w:eastAsia="宋体" w:cs="宋体"/>
          <w:kern w:val="0"/>
          <w:sz w:val="24"/>
          <w:szCs w:val="21"/>
          <w:lang w:val="en-US" w:eastAsia="zh-CN" w:bidi="ar-SA"/>
        </w:rPr>
        <w:t xml:space="preserve">                                  </w:t>
      </w:r>
    </w:p>
    <w:tbl>
      <w:tblPr>
        <w:tblStyle w:val="14"/>
        <w:tblW w:w="9909"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4546"/>
        <w:gridCol w:w="1471"/>
        <w:gridCol w:w="1548"/>
        <w:gridCol w:w="1394"/>
      </w:tblGrid>
      <w:tr w14:paraId="65A4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50" w:type="dxa"/>
            <w:noWrap w:val="0"/>
            <w:vAlign w:val="center"/>
          </w:tcPr>
          <w:p w14:paraId="52CC24E9">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eastAsia="zh-CN"/>
              </w:rPr>
              <w:t>序号</w:t>
            </w:r>
          </w:p>
        </w:tc>
        <w:tc>
          <w:tcPr>
            <w:tcW w:w="4546" w:type="dxa"/>
            <w:noWrap w:val="0"/>
            <w:vAlign w:val="center"/>
          </w:tcPr>
          <w:p w14:paraId="75111B08">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Cs w:val="21"/>
                <w:lang w:eastAsia="zh-CN"/>
              </w:rPr>
            </w:pPr>
            <w:r>
              <w:rPr>
                <w:rFonts w:hint="eastAsia" w:ascii="宋体" w:hAnsi="宋体" w:eastAsia="宋体" w:cs="宋体"/>
                <w:bCs/>
                <w:snapToGrid/>
                <w:color w:val="000000"/>
                <w:kern w:val="2"/>
                <w:szCs w:val="21"/>
                <w:lang w:eastAsia="zh-CN"/>
              </w:rPr>
              <w:t>评审内容</w:t>
            </w:r>
          </w:p>
        </w:tc>
        <w:tc>
          <w:tcPr>
            <w:tcW w:w="1471" w:type="dxa"/>
            <w:noWrap w:val="0"/>
            <w:vAlign w:val="center"/>
          </w:tcPr>
          <w:p w14:paraId="334F006E">
            <w:pPr>
              <w:widowControl w:val="0"/>
              <w:kinsoku/>
              <w:autoSpaceDE/>
              <w:autoSpaceDN/>
              <w:adjustRightInd/>
              <w:snapToGrid/>
              <w:spacing w:line="240" w:lineRule="auto"/>
              <w:jc w:val="center"/>
              <w:textAlignment w:val="auto"/>
              <w:rPr>
                <w:rFonts w:hint="eastAsia" w:ascii="宋体" w:hAnsi="宋体" w:eastAsia="宋体" w:cs="宋体"/>
                <w:bCs/>
                <w:snapToGrid/>
                <w:color w:val="000000"/>
                <w:kern w:val="2"/>
                <w:szCs w:val="21"/>
                <w:lang w:eastAsia="zh-CN"/>
              </w:rPr>
            </w:pPr>
            <w:r>
              <w:rPr>
                <w:rFonts w:hint="eastAsia" w:ascii="宋体" w:hAnsi="宋体" w:eastAsia="宋体" w:cs="宋体"/>
                <w:bCs/>
                <w:snapToGrid/>
                <w:color w:val="000000"/>
                <w:kern w:val="2"/>
                <w:szCs w:val="21"/>
                <w:lang w:eastAsia="zh-CN"/>
              </w:rPr>
              <w:t>竞投人A</w:t>
            </w:r>
          </w:p>
        </w:tc>
        <w:tc>
          <w:tcPr>
            <w:tcW w:w="1548" w:type="dxa"/>
            <w:noWrap w:val="0"/>
            <w:vAlign w:val="center"/>
          </w:tcPr>
          <w:p w14:paraId="706249A8">
            <w:pPr>
              <w:widowControl w:val="0"/>
              <w:kinsoku/>
              <w:autoSpaceDE/>
              <w:autoSpaceDN/>
              <w:adjustRightInd/>
              <w:snapToGrid/>
              <w:spacing w:line="240" w:lineRule="auto"/>
              <w:jc w:val="center"/>
              <w:textAlignment w:val="auto"/>
              <w:rPr>
                <w:rFonts w:hint="eastAsia" w:ascii="宋体" w:hAnsi="宋体" w:eastAsia="宋体" w:cs="宋体"/>
                <w:bCs/>
                <w:snapToGrid/>
                <w:color w:val="000000"/>
                <w:kern w:val="2"/>
                <w:szCs w:val="21"/>
                <w:lang w:eastAsia="zh-CN"/>
              </w:rPr>
            </w:pPr>
            <w:r>
              <w:rPr>
                <w:rFonts w:hint="eastAsia" w:ascii="宋体" w:hAnsi="宋体" w:eastAsia="宋体" w:cs="宋体"/>
                <w:bCs/>
                <w:snapToGrid/>
                <w:color w:val="000000"/>
                <w:kern w:val="2"/>
                <w:szCs w:val="21"/>
                <w:lang w:eastAsia="zh-CN"/>
              </w:rPr>
              <w:t>竞投人B</w:t>
            </w:r>
          </w:p>
        </w:tc>
        <w:tc>
          <w:tcPr>
            <w:tcW w:w="1394" w:type="dxa"/>
            <w:noWrap w:val="0"/>
            <w:vAlign w:val="center"/>
          </w:tcPr>
          <w:p w14:paraId="31A2F416">
            <w:pPr>
              <w:widowControl w:val="0"/>
              <w:kinsoku/>
              <w:autoSpaceDE/>
              <w:autoSpaceDN/>
              <w:adjustRightInd/>
              <w:snapToGrid/>
              <w:spacing w:line="240" w:lineRule="auto"/>
              <w:jc w:val="center"/>
              <w:textAlignment w:val="auto"/>
              <w:rPr>
                <w:rFonts w:hint="eastAsia" w:ascii="宋体" w:hAnsi="宋体" w:eastAsia="宋体" w:cs="宋体"/>
                <w:bCs/>
                <w:snapToGrid/>
                <w:color w:val="000000"/>
                <w:kern w:val="2"/>
                <w:szCs w:val="21"/>
                <w:lang w:eastAsia="zh-CN"/>
              </w:rPr>
            </w:pPr>
            <w:r>
              <w:rPr>
                <w:rFonts w:hint="eastAsia" w:ascii="宋体" w:hAnsi="宋体" w:eastAsia="宋体" w:cs="宋体"/>
                <w:bCs/>
                <w:snapToGrid/>
                <w:color w:val="000000"/>
                <w:kern w:val="2"/>
                <w:szCs w:val="21"/>
                <w:lang w:eastAsia="zh-CN"/>
              </w:rPr>
              <w:t>竞投人C</w:t>
            </w:r>
          </w:p>
        </w:tc>
      </w:tr>
      <w:tr w14:paraId="64F0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950" w:type="dxa"/>
            <w:noWrap w:val="0"/>
            <w:vAlign w:val="center"/>
          </w:tcPr>
          <w:p w14:paraId="3F8E8AFA">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eastAsia="zh-CN"/>
              </w:rPr>
              <w:t>1</w:t>
            </w:r>
          </w:p>
        </w:tc>
        <w:tc>
          <w:tcPr>
            <w:tcW w:w="4546" w:type="dxa"/>
            <w:noWrap w:val="0"/>
            <w:vAlign w:val="center"/>
          </w:tcPr>
          <w:p w14:paraId="4E7DF5F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 w:val="21"/>
                <w:szCs w:val="21"/>
                <w:lang w:eastAsia="zh-CN"/>
              </w:rPr>
              <w:t>竞投人须是具有独立承担民事责任能力的在中华人民共和国境内注册的法人或其他组织，提供有效的营业执照（或事业单位法人证书、</w:t>
            </w:r>
            <w:r>
              <w:rPr>
                <w:rFonts w:hint="eastAsia" w:ascii="宋体" w:hAnsi="宋体" w:eastAsia="宋体" w:cs="宋体"/>
                <w:i w:val="0"/>
                <w:caps w:val="0"/>
                <w:snapToGrid/>
                <w:color w:val="000000"/>
                <w:spacing w:val="0"/>
                <w:kern w:val="2"/>
                <w:sz w:val="21"/>
                <w:szCs w:val="21"/>
                <w:shd w:val="clear"/>
                <w:lang w:eastAsia="zh-CN"/>
              </w:rPr>
              <w:t>执业许可证</w:t>
            </w:r>
            <w:r>
              <w:rPr>
                <w:rFonts w:hint="eastAsia" w:ascii="宋体" w:hAnsi="宋体" w:eastAsia="宋体" w:cs="宋体"/>
                <w:snapToGrid/>
                <w:color w:val="000000"/>
                <w:kern w:val="2"/>
                <w:sz w:val="21"/>
                <w:szCs w:val="21"/>
                <w:lang w:eastAsia="zh-CN"/>
              </w:rPr>
              <w:t>等证明材料）复印件。</w:t>
            </w:r>
          </w:p>
        </w:tc>
        <w:tc>
          <w:tcPr>
            <w:tcW w:w="1471" w:type="dxa"/>
            <w:noWrap w:val="0"/>
            <w:vAlign w:val="center"/>
          </w:tcPr>
          <w:p w14:paraId="40BF9DF7">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548" w:type="dxa"/>
            <w:noWrap w:val="0"/>
            <w:vAlign w:val="center"/>
          </w:tcPr>
          <w:p w14:paraId="508F1EC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394" w:type="dxa"/>
            <w:noWrap w:val="0"/>
            <w:vAlign w:val="center"/>
          </w:tcPr>
          <w:p w14:paraId="2EA26CEE">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r w14:paraId="309F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950" w:type="dxa"/>
            <w:noWrap w:val="0"/>
            <w:vAlign w:val="center"/>
          </w:tcPr>
          <w:p w14:paraId="7FF2D713">
            <w:pPr>
              <w:widowControl w:val="0"/>
              <w:kinsoku/>
              <w:autoSpaceDE/>
              <w:autoSpaceDN/>
              <w:adjustRightInd/>
              <w:snapToGrid/>
              <w:spacing w:line="240" w:lineRule="auto"/>
              <w:jc w:val="center"/>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2</w:t>
            </w:r>
          </w:p>
        </w:tc>
        <w:tc>
          <w:tcPr>
            <w:tcW w:w="4546" w:type="dxa"/>
            <w:noWrap w:val="0"/>
            <w:vAlign w:val="center"/>
          </w:tcPr>
          <w:p w14:paraId="2EE422C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r>
              <w:rPr>
                <w:rFonts w:hint="eastAsia" w:ascii="Times New Roman" w:hAnsi="Times New Roman" w:eastAsia="宋体" w:cs="Times New Roman"/>
                <w:snapToGrid/>
                <w:color w:val="auto"/>
                <w:kern w:val="2"/>
                <w:szCs w:val="24"/>
                <w:lang w:eastAsia="zh-CN"/>
              </w:rPr>
              <w:t>竞投人具有律师事务所执业许可证或律师事务所分所执业许可证，在执业和年检过程中，年检合格。【须提供有效期内的执业许可证明及年检合格证明（分所投标的，须提供《律师事务所分所执业许可证》及年检合格材料；总所投标的，须提供《律师事务所执业许可证》及年检合格材料），竞投人近年度司法行政机关执业年检结果为合格，无年检不合格、停业整顿、吊销执业资质等违规情形】</w:t>
            </w:r>
          </w:p>
        </w:tc>
        <w:tc>
          <w:tcPr>
            <w:tcW w:w="1471" w:type="dxa"/>
            <w:noWrap w:val="0"/>
            <w:vAlign w:val="center"/>
          </w:tcPr>
          <w:p w14:paraId="36E9CA59">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548" w:type="dxa"/>
            <w:noWrap w:val="0"/>
            <w:vAlign w:val="center"/>
          </w:tcPr>
          <w:p w14:paraId="3A9EE748">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394" w:type="dxa"/>
            <w:noWrap w:val="0"/>
            <w:vAlign w:val="center"/>
          </w:tcPr>
          <w:p w14:paraId="4C66F4B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r w14:paraId="0633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950" w:type="dxa"/>
            <w:noWrap w:val="0"/>
            <w:vAlign w:val="center"/>
          </w:tcPr>
          <w:p w14:paraId="3CC40751">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eastAsia="zh-CN"/>
              </w:rPr>
              <w:t>3</w:t>
            </w:r>
          </w:p>
        </w:tc>
        <w:tc>
          <w:tcPr>
            <w:tcW w:w="4546" w:type="dxa"/>
            <w:noWrap w:val="0"/>
            <w:vAlign w:val="center"/>
          </w:tcPr>
          <w:p w14:paraId="595111E7">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r>
              <w:rPr>
                <w:rStyle w:val="16"/>
                <w:rFonts w:hint="eastAsia" w:ascii="Times New Roman" w:hAnsi="Times New Roman" w:eastAsia="宋体" w:cs="Times New Roman"/>
                <w:b w:val="0"/>
                <w:snapToGrid/>
                <w:kern w:val="2"/>
                <w:szCs w:val="24"/>
                <w:lang w:eastAsia="zh-CN"/>
              </w:rPr>
              <w:t>竞投人未被中国执行信息公开网（zxgk.court.gov.cn）列入“失信被执行人”的名单，且未被信用中国网站（https://www.creditchina.gov.cn)列入“重大税收违法失信主体</w:t>
            </w:r>
            <w:r>
              <w:rPr>
                <w:rStyle w:val="16"/>
                <w:rFonts w:hint="eastAsia" w:ascii="Times New Roman" w:hAnsi="Times New Roman" w:eastAsia="宋体" w:cs="Times New Roman"/>
                <w:b w:val="0"/>
                <w:snapToGrid/>
                <w:kern w:val="2"/>
                <w:szCs w:val="24"/>
                <w:lang w:val="en-US" w:eastAsia="zh-CN"/>
              </w:rPr>
              <w:t>名单</w:t>
            </w:r>
            <w:r>
              <w:rPr>
                <w:rStyle w:val="16"/>
                <w:rFonts w:hint="eastAsia" w:ascii="Times New Roman" w:hAnsi="Times New Roman" w:eastAsia="宋体" w:cs="Times New Roman"/>
                <w:b w:val="0"/>
                <w:snapToGrid/>
                <w:kern w:val="2"/>
                <w:szCs w:val="24"/>
                <w:lang w:eastAsia="zh-CN"/>
              </w:rPr>
              <w:t>”“严重失信</w:t>
            </w:r>
            <w:r>
              <w:rPr>
                <w:rStyle w:val="16"/>
                <w:rFonts w:hint="eastAsia" w:ascii="Times New Roman" w:hAnsi="Times New Roman" w:eastAsia="宋体" w:cs="Times New Roman"/>
                <w:b w:val="0"/>
                <w:snapToGrid/>
                <w:kern w:val="2"/>
                <w:szCs w:val="24"/>
                <w:lang w:val="en-US" w:eastAsia="zh-CN"/>
              </w:rPr>
              <w:t>主体</w:t>
            </w:r>
            <w:r>
              <w:rPr>
                <w:rStyle w:val="16"/>
                <w:rFonts w:hint="eastAsia" w:ascii="Times New Roman" w:hAnsi="Times New Roman" w:eastAsia="宋体" w:cs="Times New Roman"/>
                <w:b w:val="0"/>
                <w:snapToGrid/>
                <w:kern w:val="2"/>
                <w:szCs w:val="24"/>
                <w:lang w:eastAsia="zh-CN"/>
              </w:rPr>
              <w:t>名单”。（以采购人开标当天在上述网站查询结果为准，如在上述网站查询结果均显示没有相关记录，视为没有上述不良信用记录。同时对信用信息查询记录和证据截图存档。如相关失信记录已失效，竞投人须提供相关证明资料）。</w:t>
            </w:r>
          </w:p>
        </w:tc>
        <w:tc>
          <w:tcPr>
            <w:tcW w:w="1471" w:type="dxa"/>
            <w:noWrap w:val="0"/>
            <w:vAlign w:val="center"/>
          </w:tcPr>
          <w:p w14:paraId="78ED5DE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548" w:type="dxa"/>
            <w:noWrap w:val="0"/>
            <w:vAlign w:val="center"/>
          </w:tcPr>
          <w:p w14:paraId="2DC271DD">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394" w:type="dxa"/>
            <w:noWrap w:val="0"/>
            <w:vAlign w:val="center"/>
          </w:tcPr>
          <w:p w14:paraId="6C716064">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r w14:paraId="5506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950" w:type="dxa"/>
            <w:noWrap w:val="0"/>
            <w:vAlign w:val="center"/>
          </w:tcPr>
          <w:p w14:paraId="66F655A4">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eastAsia="zh-CN"/>
              </w:rPr>
              <w:t>4</w:t>
            </w:r>
          </w:p>
        </w:tc>
        <w:tc>
          <w:tcPr>
            <w:tcW w:w="4546" w:type="dxa"/>
            <w:noWrap w:val="0"/>
            <w:vAlign w:val="center"/>
          </w:tcPr>
          <w:p w14:paraId="0C38111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r>
              <w:rPr>
                <w:rFonts w:hint="eastAsia" w:ascii="Times New Roman" w:hAnsi="Times New Roman" w:eastAsia="宋体" w:cs="Times New Roman"/>
                <w:snapToGrid/>
                <w:kern w:val="2"/>
                <w:szCs w:val="24"/>
                <w:lang w:eastAsia="zh-CN"/>
              </w:rPr>
              <w:t>竞投人未出现以下情形：与其它竞投人的单位负责人为同一人或者存在控股、管理关系的（按竞投人提供的《响应函》第7条内容进行评审）。如不同响应申请人出现单位负责人为同一人或者存在控股、管理关系的情形，则相关响应均无效。</w:t>
            </w:r>
          </w:p>
        </w:tc>
        <w:tc>
          <w:tcPr>
            <w:tcW w:w="1471" w:type="dxa"/>
            <w:noWrap w:val="0"/>
            <w:vAlign w:val="center"/>
          </w:tcPr>
          <w:p w14:paraId="1E23E884">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548" w:type="dxa"/>
            <w:noWrap w:val="0"/>
            <w:vAlign w:val="center"/>
          </w:tcPr>
          <w:p w14:paraId="15599237">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394" w:type="dxa"/>
            <w:noWrap w:val="0"/>
            <w:vAlign w:val="center"/>
          </w:tcPr>
          <w:p w14:paraId="138076B3">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r w14:paraId="2B5F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0" w:type="dxa"/>
            <w:noWrap w:val="0"/>
            <w:vAlign w:val="center"/>
          </w:tcPr>
          <w:p w14:paraId="6C0ED4B8">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eastAsia="zh-CN"/>
              </w:rPr>
              <w:t>5</w:t>
            </w:r>
          </w:p>
        </w:tc>
        <w:tc>
          <w:tcPr>
            <w:tcW w:w="4546" w:type="dxa"/>
            <w:noWrap w:val="0"/>
            <w:vAlign w:val="center"/>
          </w:tcPr>
          <w:p w14:paraId="3434972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r>
              <w:rPr>
                <w:rStyle w:val="16"/>
                <w:rFonts w:hint="eastAsia" w:ascii="Times New Roman" w:hAnsi="Times New Roman" w:eastAsia="宋体" w:cs="Times New Roman"/>
                <w:b w:val="0"/>
                <w:snapToGrid/>
                <w:kern w:val="2"/>
                <w:szCs w:val="24"/>
                <w:lang w:eastAsia="zh-CN"/>
              </w:rPr>
              <w:t>本项目不接受联合体响应。</w:t>
            </w:r>
          </w:p>
        </w:tc>
        <w:tc>
          <w:tcPr>
            <w:tcW w:w="1471" w:type="dxa"/>
            <w:noWrap w:val="0"/>
            <w:vAlign w:val="center"/>
          </w:tcPr>
          <w:p w14:paraId="2BBEC930">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548" w:type="dxa"/>
            <w:noWrap w:val="0"/>
            <w:vAlign w:val="center"/>
          </w:tcPr>
          <w:p w14:paraId="36983749">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394" w:type="dxa"/>
            <w:noWrap w:val="0"/>
            <w:vAlign w:val="center"/>
          </w:tcPr>
          <w:p w14:paraId="7715CAC8">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r w14:paraId="314C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50" w:type="dxa"/>
            <w:noWrap w:val="0"/>
            <w:vAlign w:val="center"/>
          </w:tcPr>
          <w:p w14:paraId="72C3D893">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eastAsia="zh-CN"/>
              </w:rPr>
              <w:t>6</w:t>
            </w:r>
          </w:p>
        </w:tc>
        <w:tc>
          <w:tcPr>
            <w:tcW w:w="4546" w:type="dxa"/>
            <w:noWrap w:val="0"/>
            <w:vAlign w:val="center"/>
          </w:tcPr>
          <w:p w14:paraId="55E9B8A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eastAsia="zh-CN"/>
              </w:rPr>
              <w:t>竞投人需提供有效法定代表人（或负责人）证明书及授权委托书；法定代表人（或负责人）及被授权人身份证复印件。</w:t>
            </w:r>
          </w:p>
        </w:tc>
        <w:tc>
          <w:tcPr>
            <w:tcW w:w="1471" w:type="dxa"/>
            <w:noWrap w:val="0"/>
            <w:vAlign w:val="center"/>
          </w:tcPr>
          <w:p w14:paraId="2F6D50A3">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548" w:type="dxa"/>
            <w:noWrap w:val="0"/>
            <w:vAlign w:val="center"/>
          </w:tcPr>
          <w:p w14:paraId="6CBE12BF">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394" w:type="dxa"/>
            <w:noWrap w:val="0"/>
            <w:vAlign w:val="center"/>
          </w:tcPr>
          <w:p w14:paraId="4D94479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r w14:paraId="1A3E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0" w:type="dxa"/>
            <w:noWrap w:val="0"/>
            <w:vAlign w:val="center"/>
          </w:tcPr>
          <w:p w14:paraId="252D2099">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eastAsia="zh-CN"/>
              </w:rPr>
              <w:t>7</w:t>
            </w:r>
          </w:p>
        </w:tc>
        <w:tc>
          <w:tcPr>
            <w:tcW w:w="4546" w:type="dxa"/>
            <w:noWrap w:val="0"/>
            <w:vAlign w:val="center"/>
          </w:tcPr>
          <w:p w14:paraId="0EAEB0D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eastAsia="zh-CN"/>
              </w:rPr>
              <w:t>报价唯一且不高于采购人规定的最高限价。</w:t>
            </w:r>
          </w:p>
        </w:tc>
        <w:tc>
          <w:tcPr>
            <w:tcW w:w="1471" w:type="dxa"/>
            <w:noWrap w:val="0"/>
            <w:vAlign w:val="center"/>
          </w:tcPr>
          <w:p w14:paraId="71EA2BC1">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548" w:type="dxa"/>
            <w:noWrap w:val="0"/>
            <w:vAlign w:val="center"/>
          </w:tcPr>
          <w:p w14:paraId="270B0777">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394" w:type="dxa"/>
            <w:noWrap w:val="0"/>
            <w:vAlign w:val="center"/>
          </w:tcPr>
          <w:p w14:paraId="3919D89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r w14:paraId="5251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0" w:type="dxa"/>
            <w:noWrap w:val="0"/>
            <w:vAlign w:val="center"/>
          </w:tcPr>
          <w:p w14:paraId="00AFFBC4">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Cs w:val="21"/>
                <w:lang w:val="en-US" w:eastAsia="zh-CN"/>
              </w:rPr>
            </w:pPr>
            <w:r>
              <w:rPr>
                <w:rFonts w:hint="eastAsia" w:ascii="宋体" w:hAnsi="宋体" w:eastAsia="宋体" w:cs="宋体"/>
                <w:snapToGrid/>
                <w:color w:val="000000"/>
                <w:kern w:val="2"/>
                <w:szCs w:val="21"/>
                <w:lang w:val="en-US" w:eastAsia="zh-CN"/>
              </w:rPr>
              <w:t>8</w:t>
            </w:r>
          </w:p>
        </w:tc>
        <w:tc>
          <w:tcPr>
            <w:tcW w:w="4546" w:type="dxa"/>
            <w:noWrap w:val="0"/>
            <w:vAlign w:val="center"/>
          </w:tcPr>
          <w:p w14:paraId="59E721B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val="en-US" w:eastAsia="zh-CN"/>
              </w:rPr>
              <w:t>不存在围标串标情形（具体情形详见响应须知序号21）。</w:t>
            </w:r>
          </w:p>
        </w:tc>
        <w:tc>
          <w:tcPr>
            <w:tcW w:w="1471" w:type="dxa"/>
            <w:noWrap w:val="0"/>
            <w:vAlign w:val="center"/>
          </w:tcPr>
          <w:p w14:paraId="3BFDAF39">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548" w:type="dxa"/>
            <w:noWrap w:val="0"/>
            <w:vAlign w:val="center"/>
          </w:tcPr>
          <w:p w14:paraId="6B0EE734">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394" w:type="dxa"/>
            <w:noWrap w:val="0"/>
            <w:vAlign w:val="center"/>
          </w:tcPr>
          <w:p w14:paraId="4EA6FD90">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r w14:paraId="1FFA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496" w:type="dxa"/>
            <w:gridSpan w:val="2"/>
            <w:noWrap w:val="0"/>
            <w:vAlign w:val="center"/>
          </w:tcPr>
          <w:p w14:paraId="366F0568">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Cs w:val="21"/>
                <w:lang w:eastAsia="zh-CN"/>
              </w:rPr>
            </w:pPr>
            <w:r>
              <w:rPr>
                <w:rFonts w:hint="eastAsia" w:ascii="宋体" w:hAnsi="宋体" w:eastAsia="宋体" w:cs="宋体"/>
                <w:snapToGrid/>
                <w:color w:val="000000"/>
                <w:kern w:val="2"/>
                <w:szCs w:val="21"/>
                <w:lang w:eastAsia="zh-CN"/>
              </w:rPr>
              <w:t>结论（通过/不通过）</w:t>
            </w:r>
          </w:p>
        </w:tc>
        <w:tc>
          <w:tcPr>
            <w:tcW w:w="1471" w:type="dxa"/>
            <w:noWrap w:val="0"/>
            <w:vAlign w:val="center"/>
          </w:tcPr>
          <w:p w14:paraId="62419B3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548" w:type="dxa"/>
            <w:noWrap w:val="0"/>
            <w:vAlign w:val="center"/>
          </w:tcPr>
          <w:p w14:paraId="514D412A">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c>
          <w:tcPr>
            <w:tcW w:w="1394" w:type="dxa"/>
            <w:noWrap w:val="0"/>
            <w:vAlign w:val="center"/>
          </w:tcPr>
          <w:p w14:paraId="095700C9">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Cs w:val="21"/>
                <w:lang w:eastAsia="zh-CN"/>
              </w:rPr>
            </w:pPr>
          </w:p>
        </w:tc>
      </w:tr>
    </w:tbl>
    <w:p w14:paraId="20A3E3F3">
      <w:pPr>
        <w:widowControl w:val="0"/>
        <w:kinsoku/>
        <w:autoSpaceDE/>
        <w:autoSpaceDN/>
        <w:adjustRightInd/>
        <w:snapToGrid/>
        <w:spacing w:line="360" w:lineRule="auto"/>
        <w:jc w:val="left"/>
        <w:textAlignment w:val="auto"/>
        <w:rPr>
          <w:rFonts w:hint="eastAsia" w:ascii="宋体" w:hAnsi="宋体" w:eastAsia="宋体" w:cs="宋体"/>
          <w:snapToGrid/>
          <w:kern w:val="2"/>
          <w:szCs w:val="21"/>
          <w:lang w:eastAsia="zh-CN"/>
        </w:rPr>
      </w:pPr>
    </w:p>
    <w:p w14:paraId="4BD86420">
      <w:pPr>
        <w:widowControl w:val="0"/>
        <w:kinsoku/>
        <w:autoSpaceDE/>
        <w:autoSpaceDN/>
        <w:adjustRightInd/>
        <w:snapToGrid w:val="0"/>
        <w:spacing w:line="360" w:lineRule="auto"/>
        <w:jc w:val="both"/>
        <w:textAlignment w:val="auto"/>
        <w:rPr>
          <w:rFonts w:hint="eastAsia" w:ascii="宋体" w:hAnsi="宋体" w:eastAsia="宋体" w:cs="宋体"/>
          <w:bCs/>
          <w:snapToGrid/>
          <w:kern w:val="2"/>
          <w:szCs w:val="24"/>
          <w:lang w:eastAsia="zh-CN"/>
        </w:rPr>
      </w:pPr>
      <w:r>
        <w:rPr>
          <w:rFonts w:hint="eastAsia" w:ascii="宋体" w:hAnsi="宋体" w:eastAsia="宋体" w:cs="宋体"/>
          <w:bCs/>
          <w:snapToGrid/>
          <w:kern w:val="2"/>
          <w:szCs w:val="24"/>
          <w:lang w:eastAsia="zh-CN"/>
        </w:rPr>
        <w:t>注：满足审查内容要求的在“审查结果”栏中打“</w:t>
      </w:r>
      <w:r>
        <w:rPr>
          <w:rFonts w:hint="eastAsia" w:ascii="宋体" w:hAnsi="宋体" w:eastAsia="宋体" w:cs="宋体"/>
          <w:snapToGrid/>
          <w:kern w:val="2"/>
          <w:szCs w:val="21"/>
          <w:lang w:eastAsia="zh-CN"/>
        </w:rPr>
        <w:t>√</w:t>
      </w:r>
      <w:r>
        <w:rPr>
          <w:rFonts w:hint="eastAsia" w:ascii="宋体" w:hAnsi="宋体" w:eastAsia="宋体" w:cs="宋体"/>
          <w:bCs/>
          <w:snapToGrid/>
          <w:kern w:val="2"/>
          <w:szCs w:val="24"/>
          <w:lang w:eastAsia="zh-CN"/>
        </w:rPr>
        <w:t>”，不满足要求的 “X”。审查结果均全部满足，“审查结论”为通过；审查结果有任一项不满足，则“审查结论”为不通过。</w:t>
      </w:r>
    </w:p>
    <w:p w14:paraId="5CC668F3">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40B9ED08">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614423F4">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5C93E850">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0434B123">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687DE708">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7FAFFA8A">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6CAC68FC">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166E98C5">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689CC4C0">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2B0D1C0D">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1D495B05">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73DF04A5">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065BBEBA">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6502C966">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4A966432">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7EEC531E">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55F2CF95">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32"/>
          <w:szCs w:val="32"/>
          <w:lang w:eastAsia="zh-CN"/>
        </w:rPr>
      </w:pPr>
    </w:p>
    <w:p w14:paraId="1F153FEC">
      <w:pPr>
        <w:widowControl w:val="0"/>
        <w:kinsoku/>
        <w:autoSpaceDE/>
        <w:autoSpaceDN/>
        <w:adjustRightInd/>
        <w:snapToGrid/>
        <w:spacing w:line="240" w:lineRule="auto"/>
        <w:jc w:val="center"/>
        <w:textAlignment w:val="auto"/>
        <w:rPr>
          <w:rFonts w:hint="eastAsia" w:ascii="宋体" w:hAnsi="宋体" w:eastAsia="宋体" w:cs="宋体"/>
          <w:b/>
          <w:bCs/>
          <w:snapToGrid/>
          <w:color w:val="000000"/>
          <w:kern w:val="2"/>
          <w:sz w:val="32"/>
          <w:szCs w:val="32"/>
          <w:lang w:eastAsia="zh-CN"/>
        </w:rPr>
      </w:pPr>
      <w:r>
        <w:rPr>
          <w:rFonts w:hint="eastAsia" w:ascii="宋体" w:hAnsi="宋体" w:eastAsia="宋体" w:cs="宋体"/>
          <w:b/>
          <w:bCs/>
          <w:snapToGrid/>
          <w:color w:val="000000"/>
          <w:kern w:val="2"/>
          <w:sz w:val="32"/>
          <w:szCs w:val="32"/>
          <w:lang w:eastAsia="zh-CN"/>
        </w:rPr>
        <w:t>综合评分表</w:t>
      </w:r>
    </w:p>
    <w:p w14:paraId="0D2A50CE">
      <w:pPr>
        <w:widowControl w:val="0"/>
        <w:kinsoku/>
        <w:autoSpaceDE/>
        <w:autoSpaceDN/>
        <w:adjustRightInd/>
        <w:snapToGrid/>
        <w:spacing w:line="240" w:lineRule="auto"/>
        <w:jc w:val="left"/>
        <w:textAlignment w:val="auto"/>
        <w:rPr>
          <w:rFonts w:hint="default" w:ascii="Times New Roman" w:hAnsi="Times New Roman" w:eastAsia="宋体" w:cs="Times New Roman"/>
          <w:snapToGrid/>
          <w:kern w:val="2"/>
          <w:szCs w:val="21"/>
          <w:lang w:val="en-US" w:eastAsia="zh-CN"/>
        </w:rPr>
      </w:pPr>
      <w:r>
        <w:rPr>
          <w:rFonts w:hint="eastAsia" w:ascii="Times New Roman" w:hAnsi="Times New Roman" w:eastAsia="宋体" w:cs="Times New Roman"/>
          <w:snapToGrid/>
          <w:kern w:val="2"/>
          <w:szCs w:val="21"/>
          <w:lang w:val="en-US" w:eastAsia="zh-CN"/>
        </w:rPr>
        <w:t>项目名称：花城汇北中南三区及海心沙11宗欠费案件专项律师代理服务采购项目</w:t>
      </w:r>
    </w:p>
    <w:tbl>
      <w:tblPr>
        <w:tblStyle w:val="14"/>
        <w:tblW w:w="10867" w:type="dxa"/>
        <w:tblInd w:w="-252" w:type="dxa"/>
        <w:tblLayout w:type="fixed"/>
        <w:tblCellMar>
          <w:top w:w="0" w:type="dxa"/>
          <w:left w:w="108" w:type="dxa"/>
          <w:bottom w:w="0" w:type="dxa"/>
          <w:right w:w="108" w:type="dxa"/>
        </w:tblCellMar>
      </w:tblPr>
      <w:tblGrid>
        <w:gridCol w:w="1053"/>
        <w:gridCol w:w="2360"/>
        <w:gridCol w:w="5650"/>
        <w:gridCol w:w="1568"/>
        <w:gridCol w:w="236"/>
      </w:tblGrid>
      <w:tr w14:paraId="127B037B">
        <w:tblPrEx>
          <w:tblCellMar>
            <w:top w:w="0" w:type="dxa"/>
            <w:left w:w="108" w:type="dxa"/>
            <w:bottom w:w="0" w:type="dxa"/>
            <w:right w:w="108" w:type="dxa"/>
          </w:tblCellMar>
        </w:tblPrEx>
        <w:trPr>
          <w:trHeight w:val="165" w:hRule="atLeast"/>
        </w:trPr>
        <w:tc>
          <w:tcPr>
            <w:tcW w:w="1053" w:type="dxa"/>
            <w:tcBorders>
              <w:top w:val="single" w:color="auto" w:sz="4" w:space="0"/>
              <w:left w:val="single" w:color="auto" w:sz="4" w:space="0"/>
              <w:bottom w:val="single" w:color="auto" w:sz="4" w:space="0"/>
              <w:right w:val="single" w:color="auto" w:sz="4" w:space="0"/>
            </w:tcBorders>
            <w:noWrap w:val="0"/>
            <w:vAlign w:val="center"/>
          </w:tcPr>
          <w:p w14:paraId="3CABD6D6">
            <w:pPr>
              <w:widowControl/>
              <w:kinsoku/>
              <w:autoSpaceDE/>
              <w:autoSpaceDN/>
              <w:adjustRightInd/>
              <w:snapToGrid/>
              <w:spacing w:line="240" w:lineRule="auto"/>
              <w:jc w:val="center"/>
              <w:textAlignment w:val="auto"/>
              <w:rPr>
                <w:rFonts w:hint="eastAsia" w:ascii="仿宋" w:hAnsi="仿宋" w:eastAsia="仿宋" w:cs="仿宋"/>
                <w:b/>
                <w:bCs/>
                <w:snapToGrid/>
                <w:kern w:val="0"/>
                <w:sz w:val="40"/>
                <w:szCs w:val="40"/>
                <w:lang w:val="en-US" w:eastAsia="zh-CN"/>
              </w:rPr>
            </w:pPr>
            <w:r>
              <w:rPr>
                <w:rFonts w:hint="eastAsia" w:ascii="仿宋" w:hAnsi="仿宋" w:eastAsia="仿宋" w:cs="仿宋"/>
                <w:snapToGrid/>
                <w:kern w:val="0"/>
                <w:szCs w:val="21"/>
                <w:highlight w:val="none"/>
                <w:lang w:val="en-US" w:eastAsia="zh-CN"/>
              </w:rPr>
              <w:t>序号</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392F94B3">
            <w:pPr>
              <w:widowControl/>
              <w:kinsoku/>
              <w:autoSpaceDE/>
              <w:autoSpaceDN/>
              <w:adjustRightInd/>
              <w:snapToGrid/>
              <w:spacing w:line="240" w:lineRule="auto"/>
              <w:jc w:val="center"/>
              <w:textAlignment w:val="auto"/>
              <w:rPr>
                <w:rFonts w:hint="eastAsia" w:ascii="仿宋" w:hAnsi="仿宋" w:eastAsia="仿宋" w:cs="仿宋"/>
                <w:snapToGrid/>
                <w:kern w:val="0"/>
                <w:szCs w:val="21"/>
                <w:lang w:val="en-US" w:eastAsia="zh-CN"/>
              </w:rPr>
            </w:pPr>
            <w:r>
              <w:rPr>
                <w:rFonts w:hint="eastAsia" w:ascii="仿宋" w:hAnsi="仿宋" w:eastAsia="仿宋" w:cs="仿宋"/>
                <w:snapToGrid/>
                <w:kern w:val="0"/>
                <w:szCs w:val="21"/>
                <w:highlight w:val="none"/>
                <w:lang w:val="en-US" w:eastAsia="zh-CN"/>
              </w:rPr>
              <w:t>评审项目</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28D280E5">
            <w:pPr>
              <w:widowControl/>
              <w:kinsoku/>
              <w:autoSpaceDE/>
              <w:autoSpaceDN/>
              <w:adjustRightInd/>
              <w:snapToGrid/>
              <w:spacing w:line="240" w:lineRule="auto"/>
              <w:jc w:val="center"/>
              <w:textAlignment w:val="auto"/>
              <w:rPr>
                <w:rFonts w:hint="eastAsia" w:ascii="仿宋" w:hAnsi="仿宋" w:eastAsia="仿宋" w:cs="仿宋"/>
                <w:snapToGrid/>
                <w:kern w:val="0"/>
                <w:szCs w:val="21"/>
                <w:lang w:val="en-US" w:eastAsia="zh-CN"/>
              </w:rPr>
            </w:pPr>
            <w:r>
              <w:rPr>
                <w:rFonts w:hint="eastAsia" w:ascii="仿宋" w:hAnsi="仿宋" w:eastAsia="仿宋" w:cs="仿宋"/>
                <w:snapToGrid/>
                <w:kern w:val="0"/>
                <w:szCs w:val="21"/>
                <w:lang w:val="en-US" w:eastAsia="zh-CN"/>
              </w:rPr>
              <w:t>评审</w:t>
            </w:r>
            <w:r>
              <w:rPr>
                <w:rFonts w:hint="eastAsia" w:ascii="仿宋" w:hAnsi="仿宋" w:eastAsia="仿宋" w:cs="仿宋"/>
                <w:snapToGrid/>
                <w:kern w:val="0"/>
                <w:szCs w:val="21"/>
                <w:lang w:eastAsia="zh-CN"/>
              </w:rPr>
              <w:t>标准</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416136E6">
            <w:pPr>
              <w:widowControl/>
              <w:kinsoku/>
              <w:autoSpaceDE/>
              <w:autoSpaceDN/>
              <w:adjustRightInd/>
              <w:snapToGrid/>
              <w:spacing w:line="240" w:lineRule="auto"/>
              <w:jc w:val="center"/>
              <w:textAlignment w:val="auto"/>
              <w:rPr>
                <w:rFonts w:hint="eastAsia" w:ascii="仿宋" w:hAnsi="仿宋" w:eastAsia="仿宋" w:cs="仿宋"/>
                <w:snapToGrid/>
                <w:kern w:val="0"/>
                <w:szCs w:val="21"/>
                <w:lang w:val="en-US" w:eastAsia="zh-CN"/>
              </w:rPr>
            </w:pPr>
            <w:r>
              <w:rPr>
                <w:rFonts w:hint="eastAsia" w:ascii="仿宋" w:hAnsi="仿宋" w:eastAsia="仿宋" w:cs="仿宋"/>
                <w:snapToGrid/>
                <w:kern w:val="0"/>
                <w:szCs w:val="21"/>
                <w:lang w:val="en-US" w:eastAsia="zh-CN"/>
              </w:rPr>
              <w:t>得分</w:t>
            </w:r>
          </w:p>
        </w:tc>
        <w:tc>
          <w:tcPr>
            <w:tcW w:w="236" w:type="dxa"/>
            <w:tcBorders>
              <w:top w:val="nil"/>
              <w:left w:val="nil"/>
              <w:bottom w:val="nil"/>
              <w:right w:val="nil"/>
            </w:tcBorders>
            <w:noWrap w:val="0"/>
            <w:vAlign w:val="center"/>
          </w:tcPr>
          <w:p w14:paraId="1CE16AF0">
            <w:pPr>
              <w:widowControl w:val="0"/>
              <w:kinsoku/>
              <w:autoSpaceDE/>
              <w:autoSpaceDN/>
              <w:adjustRightInd/>
              <w:snapToGrid/>
              <w:spacing w:line="360" w:lineRule="auto"/>
              <w:jc w:val="center"/>
              <w:textAlignment w:val="auto"/>
              <w:rPr>
                <w:rFonts w:hint="eastAsia" w:ascii="仿宋" w:hAnsi="仿宋" w:eastAsia="仿宋" w:cs="仿宋"/>
                <w:bCs/>
                <w:snapToGrid/>
                <w:kern w:val="2"/>
                <w:sz w:val="32"/>
                <w:szCs w:val="32"/>
                <w:lang w:eastAsia="zh-CN"/>
              </w:rPr>
            </w:pPr>
          </w:p>
        </w:tc>
      </w:tr>
      <w:tr w14:paraId="2645DAB1">
        <w:tblPrEx>
          <w:tblCellMar>
            <w:top w:w="0" w:type="dxa"/>
            <w:left w:w="108" w:type="dxa"/>
            <w:bottom w:w="0" w:type="dxa"/>
            <w:right w:w="108" w:type="dxa"/>
          </w:tblCellMar>
        </w:tblPrEx>
        <w:trPr>
          <w:gridAfter w:val="1"/>
          <w:wAfter w:w="236" w:type="dxa"/>
          <w:trHeight w:val="660" w:hRule="atLeast"/>
        </w:trPr>
        <w:tc>
          <w:tcPr>
            <w:tcW w:w="1053" w:type="dxa"/>
            <w:tcBorders>
              <w:top w:val="single" w:color="auto" w:sz="4" w:space="0"/>
              <w:left w:val="single" w:color="auto" w:sz="4" w:space="0"/>
              <w:bottom w:val="single" w:color="auto" w:sz="4" w:space="0"/>
              <w:right w:val="single" w:color="auto" w:sz="4" w:space="0"/>
            </w:tcBorders>
            <w:noWrap w:val="0"/>
            <w:vAlign w:val="center"/>
          </w:tcPr>
          <w:p w14:paraId="0ED205F8">
            <w:pPr>
              <w:widowControl/>
              <w:kinsoku/>
              <w:autoSpaceDE/>
              <w:autoSpaceDN/>
              <w:adjustRightInd/>
              <w:snapToGrid/>
              <w:spacing w:line="240" w:lineRule="auto"/>
              <w:jc w:val="center"/>
              <w:textAlignment w:val="auto"/>
              <w:rPr>
                <w:rFonts w:hint="eastAsia" w:ascii="仿宋" w:hAnsi="仿宋" w:eastAsia="仿宋" w:cs="仿宋"/>
                <w:snapToGrid/>
                <w:kern w:val="0"/>
                <w:szCs w:val="21"/>
                <w:lang w:eastAsia="zh-CN"/>
              </w:rPr>
            </w:pPr>
            <w:r>
              <w:rPr>
                <w:rFonts w:hint="eastAsia" w:ascii="仿宋" w:hAnsi="仿宋" w:eastAsia="仿宋" w:cs="仿宋"/>
                <w:snapToGrid/>
                <w:kern w:val="0"/>
                <w:szCs w:val="21"/>
                <w:highlight w:val="none"/>
                <w:lang w:val="en-US" w:eastAsia="zh-CN"/>
              </w:rPr>
              <w:t>1</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052B22DA">
            <w:pPr>
              <w:widowControl/>
              <w:kinsoku/>
              <w:autoSpaceDE/>
              <w:autoSpaceDN/>
              <w:adjustRightInd/>
              <w:snapToGrid/>
              <w:spacing w:line="240" w:lineRule="auto"/>
              <w:jc w:val="center"/>
              <w:textAlignment w:val="auto"/>
              <w:rPr>
                <w:rFonts w:hint="eastAsia" w:ascii="仿宋" w:hAnsi="仿宋" w:eastAsia="仿宋" w:cs="仿宋"/>
                <w:snapToGrid/>
                <w:kern w:val="0"/>
                <w:szCs w:val="21"/>
                <w:lang w:eastAsia="zh-CN"/>
              </w:rPr>
            </w:pPr>
            <w:r>
              <w:rPr>
                <w:rFonts w:hint="eastAsia" w:ascii="仿宋" w:hAnsi="仿宋" w:eastAsia="仿宋" w:cs="仿宋"/>
                <w:b w:val="0"/>
                <w:bCs w:val="0"/>
                <w:snapToGrid/>
                <w:kern w:val="0"/>
                <w:szCs w:val="21"/>
                <w:highlight w:val="none"/>
                <w:lang w:val="en-US" w:eastAsia="zh-CN"/>
              </w:rPr>
              <w:t>报价情况（50分）</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3D5558EE">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none"/>
                <w:lang w:val="en-US" w:eastAsia="zh-CN"/>
              </w:rPr>
            </w:pPr>
            <w:r>
              <w:rPr>
                <w:rFonts w:hint="eastAsia" w:ascii="仿宋" w:hAnsi="仿宋" w:eastAsia="仿宋" w:cs="仿宋"/>
                <w:snapToGrid/>
                <w:kern w:val="0"/>
                <w:szCs w:val="21"/>
                <w:highlight w:val="none"/>
                <w:lang w:val="en-US" w:eastAsia="zh-CN"/>
              </w:rPr>
              <w:t>当通过响应文件资格及符合性审查的竞投人≥5家时，去掉一个最高价和一个最低价后，剩余总报价（含税）的算术平均值为评审基准价（PC）；当通过响应文件资格及符合性审查的竞投人&lt;5家时，总报价（含税）的算术平均值为评审基准价（PC）。</w:t>
            </w:r>
          </w:p>
          <w:p w14:paraId="54A52E41">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none"/>
                <w:lang w:val="en-US" w:eastAsia="zh-CN"/>
              </w:rPr>
            </w:pPr>
            <w:r>
              <w:rPr>
                <w:rFonts w:hint="eastAsia" w:ascii="仿宋" w:hAnsi="仿宋" w:eastAsia="仿宋" w:cs="仿宋"/>
                <w:snapToGrid/>
                <w:kern w:val="0"/>
                <w:szCs w:val="21"/>
                <w:highlight w:val="none"/>
                <w:lang w:val="en-US" w:eastAsia="zh-CN"/>
              </w:rPr>
              <w:t>当有效总报价（含税）（PT）等于评审基准价（PC）时，有效总报价（含税）得分I=50分；有效总报价（含税）（PT）比评审基准价（PC）上偏差1%减0.5分，下偏差1%减0.25分，最多减至0分止。</w:t>
            </w:r>
          </w:p>
          <w:p w14:paraId="165D753F">
            <w:pPr>
              <w:widowControl/>
              <w:kinsoku/>
              <w:autoSpaceDE/>
              <w:autoSpaceDN/>
              <w:adjustRightInd/>
              <w:snapToGrid/>
              <w:spacing w:line="240" w:lineRule="auto"/>
              <w:jc w:val="left"/>
              <w:textAlignment w:val="auto"/>
              <w:rPr>
                <w:rFonts w:hint="eastAsia" w:ascii="仿宋" w:hAnsi="仿宋" w:eastAsia="仿宋" w:cs="仿宋"/>
                <w:b/>
                <w:bCs/>
                <w:snapToGrid/>
                <w:kern w:val="0"/>
                <w:szCs w:val="21"/>
                <w:lang w:eastAsia="zh-CN"/>
              </w:rPr>
            </w:pPr>
            <w:r>
              <w:rPr>
                <w:rFonts w:hint="eastAsia" w:ascii="仿宋" w:hAnsi="仿宋" w:eastAsia="仿宋" w:cs="仿宋"/>
                <w:snapToGrid/>
                <w:kern w:val="0"/>
                <w:szCs w:val="21"/>
                <w:highlight w:val="none"/>
                <w:lang w:val="en-US" w:eastAsia="zh-CN"/>
              </w:rPr>
              <w:t>计算公式为：报价得分=50-n×100*|PT-PC|/PC，得出报价得分，精确到小数点后两位。</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4285D885">
            <w:pPr>
              <w:widowControl/>
              <w:kinsoku/>
              <w:autoSpaceDE/>
              <w:autoSpaceDN/>
              <w:adjustRightInd/>
              <w:snapToGrid/>
              <w:spacing w:line="240" w:lineRule="auto"/>
              <w:jc w:val="left"/>
              <w:textAlignment w:val="auto"/>
              <w:rPr>
                <w:rFonts w:hint="eastAsia" w:ascii="仿宋" w:hAnsi="仿宋" w:eastAsia="仿宋" w:cs="仿宋"/>
                <w:snapToGrid/>
                <w:kern w:val="0"/>
                <w:szCs w:val="21"/>
                <w:lang w:eastAsia="zh-CN"/>
              </w:rPr>
            </w:pPr>
          </w:p>
        </w:tc>
      </w:tr>
      <w:tr w14:paraId="706BA77A">
        <w:tblPrEx>
          <w:tblCellMar>
            <w:top w:w="0" w:type="dxa"/>
            <w:left w:w="108" w:type="dxa"/>
            <w:bottom w:w="0" w:type="dxa"/>
            <w:right w:w="108" w:type="dxa"/>
          </w:tblCellMar>
        </w:tblPrEx>
        <w:trPr>
          <w:gridAfter w:val="1"/>
          <w:wAfter w:w="236" w:type="dxa"/>
          <w:trHeight w:val="1335" w:hRule="atLeast"/>
        </w:trPr>
        <w:tc>
          <w:tcPr>
            <w:tcW w:w="1053" w:type="dxa"/>
            <w:tcBorders>
              <w:top w:val="single" w:color="auto" w:sz="4" w:space="0"/>
              <w:left w:val="single" w:color="auto" w:sz="4" w:space="0"/>
              <w:bottom w:val="single" w:color="auto" w:sz="4" w:space="0"/>
              <w:right w:val="single" w:color="auto" w:sz="4" w:space="0"/>
            </w:tcBorders>
            <w:noWrap w:val="0"/>
            <w:vAlign w:val="center"/>
          </w:tcPr>
          <w:p w14:paraId="537E2390">
            <w:pPr>
              <w:widowControl/>
              <w:kinsoku/>
              <w:autoSpaceDE/>
              <w:autoSpaceDN/>
              <w:adjustRightInd/>
              <w:snapToGrid/>
              <w:spacing w:line="240" w:lineRule="auto"/>
              <w:jc w:val="center"/>
              <w:textAlignment w:val="auto"/>
              <w:rPr>
                <w:rFonts w:hint="eastAsia" w:ascii="仿宋" w:hAnsi="仿宋" w:eastAsia="仿宋" w:cs="仿宋"/>
                <w:snapToGrid/>
                <w:kern w:val="0"/>
                <w:szCs w:val="21"/>
                <w:highlight w:val="none"/>
                <w:lang w:eastAsia="zh-CN"/>
              </w:rPr>
            </w:pPr>
            <w:r>
              <w:rPr>
                <w:rFonts w:hint="eastAsia" w:ascii="仿宋" w:hAnsi="仿宋" w:eastAsia="仿宋" w:cs="仿宋"/>
                <w:snapToGrid/>
                <w:kern w:val="0"/>
                <w:szCs w:val="21"/>
                <w:highlight w:val="none"/>
                <w:lang w:val="en-US" w:eastAsia="zh-CN"/>
              </w:rPr>
              <w:t>2</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5EE13651">
            <w:pPr>
              <w:widowControl/>
              <w:kinsoku/>
              <w:autoSpaceDE/>
              <w:autoSpaceDN/>
              <w:adjustRightInd/>
              <w:snapToGrid/>
              <w:spacing w:line="240" w:lineRule="auto"/>
              <w:jc w:val="center"/>
              <w:textAlignment w:val="auto"/>
              <w:rPr>
                <w:rFonts w:hint="eastAsia" w:ascii="仿宋" w:hAnsi="仿宋" w:eastAsia="仿宋" w:cs="仿宋"/>
                <w:snapToGrid/>
                <w:kern w:val="0"/>
                <w:szCs w:val="21"/>
                <w:highlight w:val="yellow"/>
                <w:lang w:val="en-US" w:eastAsia="zh-CN"/>
              </w:rPr>
            </w:pPr>
            <w:r>
              <w:rPr>
                <w:rFonts w:hint="eastAsia" w:ascii="仿宋" w:hAnsi="仿宋" w:eastAsia="仿宋" w:cs="仿宋"/>
                <w:b w:val="0"/>
                <w:bCs w:val="0"/>
                <w:snapToGrid/>
                <w:kern w:val="0"/>
                <w:szCs w:val="21"/>
                <w:highlight w:val="none"/>
                <w:lang w:val="en-US" w:eastAsia="zh-CN"/>
              </w:rPr>
              <w:t>服务方案（33分）</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6DAA07E0">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none"/>
                <w:lang w:eastAsia="zh-CN"/>
              </w:rPr>
            </w:pPr>
            <w:r>
              <w:rPr>
                <w:rFonts w:hint="eastAsia" w:ascii="仿宋" w:hAnsi="仿宋" w:eastAsia="仿宋" w:cs="仿宋"/>
                <w:snapToGrid/>
                <w:kern w:val="0"/>
                <w:szCs w:val="21"/>
                <w:highlight w:val="none"/>
                <w:lang w:eastAsia="zh-CN"/>
              </w:rPr>
              <w:t>根据</w:t>
            </w:r>
            <w:r>
              <w:rPr>
                <w:rFonts w:hint="eastAsia" w:ascii="仿宋" w:hAnsi="仿宋" w:eastAsia="仿宋" w:cs="仿宋"/>
                <w:snapToGrid/>
                <w:kern w:val="0"/>
                <w:szCs w:val="21"/>
                <w:highlight w:val="none"/>
                <w:lang w:val="en-US" w:eastAsia="zh-CN"/>
              </w:rPr>
              <w:t>竞投人</w:t>
            </w:r>
            <w:r>
              <w:rPr>
                <w:rFonts w:hint="eastAsia" w:ascii="仿宋" w:hAnsi="仿宋" w:eastAsia="仿宋" w:cs="仿宋"/>
                <w:snapToGrid/>
                <w:kern w:val="0"/>
                <w:szCs w:val="21"/>
                <w:highlight w:val="none"/>
                <w:lang w:eastAsia="zh-CN"/>
              </w:rPr>
              <w:t>提供的服务方案（包括但不限于专项诉讼方案制定等）进行评审：</w:t>
            </w:r>
          </w:p>
          <w:p w14:paraId="438B77D5">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none"/>
                <w:lang w:eastAsia="zh-CN"/>
              </w:rPr>
            </w:pPr>
            <w:r>
              <w:rPr>
                <w:rFonts w:hint="eastAsia" w:ascii="仿宋" w:hAnsi="仿宋" w:eastAsia="仿宋" w:cs="仿宋"/>
                <w:snapToGrid/>
                <w:kern w:val="0"/>
                <w:szCs w:val="21"/>
                <w:highlight w:val="none"/>
                <w:lang w:eastAsia="zh-CN"/>
              </w:rPr>
              <w:t>1.服务方案完整，思路清晰，目标明确，措施到位，针对性强，并提出合理化建议，完全满足采购需求，得</w:t>
            </w:r>
            <w:r>
              <w:rPr>
                <w:rFonts w:hint="eastAsia" w:ascii="仿宋" w:hAnsi="仿宋" w:eastAsia="仿宋" w:cs="仿宋"/>
                <w:snapToGrid/>
                <w:kern w:val="0"/>
                <w:szCs w:val="21"/>
                <w:highlight w:val="none"/>
                <w:lang w:val="en-US" w:eastAsia="zh-CN"/>
              </w:rPr>
              <w:t>27</w:t>
            </w:r>
            <w:r>
              <w:rPr>
                <w:rFonts w:hint="eastAsia" w:ascii="仿宋" w:hAnsi="仿宋" w:eastAsia="仿宋" w:cs="仿宋"/>
                <w:snapToGrid/>
                <w:kern w:val="0"/>
                <w:szCs w:val="21"/>
                <w:highlight w:val="none"/>
                <w:lang w:eastAsia="zh-CN"/>
              </w:rPr>
              <w:t>-</w:t>
            </w:r>
            <w:r>
              <w:rPr>
                <w:rFonts w:hint="eastAsia" w:ascii="仿宋" w:hAnsi="仿宋" w:eastAsia="仿宋" w:cs="仿宋"/>
                <w:snapToGrid/>
                <w:kern w:val="0"/>
                <w:szCs w:val="21"/>
                <w:highlight w:val="none"/>
                <w:lang w:val="en-US" w:eastAsia="zh-CN"/>
              </w:rPr>
              <w:t>33</w:t>
            </w:r>
            <w:r>
              <w:rPr>
                <w:rFonts w:hint="eastAsia" w:ascii="仿宋" w:hAnsi="仿宋" w:eastAsia="仿宋" w:cs="仿宋"/>
                <w:snapToGrid/>
                <w:kern w:val="0"/>
                <w:szCs w:val="21"/>
                <w:highlight w:val="none"/>
                <w:lang w:eastAsia="zh-CN"/>
              </w:rPr>
              <w:t>分；</w:t>
            </w:r>
          </w:p>
          <w:p w14:paraId="53B6FF5F">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none"/>
                <w:lang w:eastAsia="zh-CN"/>
              </w:rPr>
            </w:pPr>
            <w:r>
              <w:rPr>
                <w:rFonts w:hint="eastAsia" w:ascii="仿宋" w:hAnsi="仿宋" w:eastAsia="仿宋" w:cs="仿宋"/>
                <w:snapToGrid/>
                <w:kern w:val="0"/>
                <w:szCs w:val="21"/>
                <w:highlight w:val="none"/>
                <w:lang w:eastAsia="zh-CN"/>
              </w:rPr>
              <w:t>2.服务方案较完整，思路较清晰，目标较明确，措施较到位，针对性较强，基本能够满足采购需求，得</w:t>
            </w:r>
            <w:r>
              <w:rPr>
                <w:rFonts w:hint="eastAsia" w:ascii="仿宋" w:hAnsi="仿宋" w:eastAsia="仿宋" w:cs="仿宋"/>
                <w:snapToGrid/>
                <w:kern w:val="0"/>
                <w:szCs w:val="21"/>
                <w:highlight w:val="none"/>
                <w:lang w:val="en-US" w:eastAsia="zh-CN"/>
              </w:rPr>
              <w:t>16-26</w:t>
            </w:r>
            <w:r>
              <w:rPr>
                <w:rFonts w:hint="eastAsia" w:ascii="仿宋" w:hAnsi="仿宋" w:eastAsia="仿宋" w:cs="仿宋"/>
                <w:snapToGrid/>
                <w:kern w:val="0"/>
                <w:szCs w:val="21"/>
                <w:highlight w:val="none"/>
                <w:lang w:eastAsia="zh-CN"/>
              </w:rPr>
              <w:t>分；</w:t>
            </w:r>
          </w:p>
          <w:p w14:paraId="47E14890">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none"/>
                <w:lang w:eastAsia="zh-CN"/>
              </w:rPr>
            </w:pPr>
            <w:r>
              <w:rPr>
                <w:rFonts w:hint="eastAsia" w:ascii="仿宋" w:hAnsi="仿宋" w:eastAsia="仿宋" w:cs="仿宋"/>
                <w:snapToGrid/>
                <w:kern w:val="0"/>
                <w:szCs w:val="21"/>
                <w:highlight w:val="none"/>
                <w:lang w:eastAsia="zh-CN"/>
              </w:rPr>
              <w:t>3.服务方案差，思路不清晰，目标不明确，措施不到位，针对性差，不满足采购需求，得</w:t>
            </w:r>
            <w:r>
              <w:rPr>
                <w:rFonts w:hint="eastAsia" w:ascii="仿宋" w:hAnsi="仿宋" w:eastAsia="仿宋" w:cs="仿宋"/>
                <w:snapToGrid/>
                <w:kern w:val="0"/>
                <w:szCs w:val="21"/>
                <w:highlight w:val="none"/>
                <w:lang w:val="en-US" w:eastAsia="zh-CN"/>
              </w:rPr>
              <w:t>1-15</w:t>
            </w:r>
            <w:r>
              <w:rPr>
                <w:rFonts w:hint="eastAsia" w:ascii="仿宋" w:hAnsi="仿宋" w:eastAsia="仿宋" w:cs="仿宋"/>
                <w:snapToGrid/>
                <w:kern w:val="0"/>
                <w:szCs w:val="21"/>
                <w:highlight w:val="none"/>
                <w:lang w:eastAsia="zh-CN"/>
              </w:rPr>
              <w:t>分；</w:t>
            </w:r>
          </w:p>
          <w:p w14:paraId="49114221">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yellow"/>
                <w:lang w:eastAsia="zh-CN"/>
              </w:rPr>
            </w:pPr>
            <w:r>
              <w:rPr>
                <w:rFonts w:hint="eastAsia" w:ascii="仿宋" w:hAnsi="仿宋" w:eastAsia="仿宋" w:cs="仿宋"/>
                <w:snapToGrid/>
                <w:kern w:val="0"/>
                <w:szCs w:val="21"/>
                <w:highlight w:val="none"/>
                <w:lang w:eastAsia="zh-CN"/>
              </w:rPr>
              <w:t>4.不提供不得分。</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270EF04C">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none"/>
                <w:lang w:eastAsia="zh-CN"/>
              </w:rPr>
            </w:pPr>
          </w:p>
        </w:tc>
      </w:tr>
      <w:tr w14:paraId="6F077A99">
        <w:tblPrEx>
          <w:tblCellMar>
            <w:top w:w="0" w:type="dxa"/>
            <w:left w:w="108" w:type="dxa"/>
            <w:bottom w:w="0" w:type="dxa"/>
            <w:right w:w="108" w:type="dxa"/>
          </w:tblCellMar>
        </w:tblPrEx>
        <w:trPr>
          <w:gridAfter w:val="1"/>
          <w:wAfter w:w="236" w:type="dxa"/>
          <w:trHeight w:val="1342" w:hRule="atLeast"/>
        </w:trPr>
        <w:tc>
          <w:tcPr>
            <w:tcW w:w="1053" w:type="dxa"/>
            <w:tcBorders>
              <w:top w:val="single" w:color="auto" w:sz="4" w:space="0"/>
              <w:left w:val="single" w:color="auto" w:sz="4" w:space="0"/>
              <w:bottom w:val="single" w:color="auto" w:sz="4" w:space="0"/>
              <w:right w:val="single" w:color="auto" w:sz="4" w:space="0"/>
            </w:tcBorders>
            <w:noWrap w:val="0"/>
            <w:vAlign w:val="center"/>
          </w:tcPr>
          <w:p w14:paraId="40B1529D">
            <w:pPr>
              <w:widowControl/>
              <w:kinsoku/>
              <w:autoSpaceDE/>
              <w:autoSpaceDN/>
              <w:adjustRightInd/>
              <w:snapToGrid/>
              <w:spacing w:line="240" w:lineRule="auto"/>
              <w:jc w:val="center"/>
              <w:textAlignment w:val="auto"/>
              <w:rPr>
                <w:rFonts w:hint="eastAsia" w:ascii="仿宋" w:hAnsi="仿宋" w:eastAsia="仿宋" w:cs="仿宋"/>
                <w:snapToGrid/>
                <w:kern w:val="0"/>
                <w:szCs w:val="21"/>
                <w:highlight w:val="none"/>
                <w:lang w:eastAsia="zh-CN"/>
              </w:rPr>
            </w:pPr>
            <w:r>
              <w:rPr>
                <w:rFonts w:hint="eastAsia" w:ascii="仿宋" w:hAnsi="仿宋" w:eastAsia="仿宋" w:cs="仿宋"/>
                <w:b w:val="0"/>
                <w:bCs w:val="0"/>
                <w:snapToGrid/>
                <w:color w:val="auto"/>
                <w:kern w:val="2"/>
                <w:sz w:val="21"/>
                <w:szCs w:val="21"/>
                <w:highlight w:val="none"/>
                <w:lang w:val="en-US" w:eastAsia="zh-CN" w:bidi="ar-SA"/>
              </w:rPr>
              <w:t>3</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48ECD41D">
            <w:pPr>
              <w:widowControl/>
              <w:kinsoku/>
              <w:autoSpaceDE/>
              <w:autoSpaceDN/>
              <w:adjustRightInd/>
              <w:snapToGrid/>
              <w:spacing w:line="240" w:lineRule="auto"/>
              <w:jc w:val="center"/>
              <w:textAlignment w:val="auto"/>
              <w:rPr>
                <w:rFonts w:hint="eastAsia" w:ascii="仿宋" w:hAnsi="仿宋" w:eastAsia="仿宋" w:cs="仿宋"/>
                <w:snapToGrid/>
                <w:kern w:val="0"/>
                <w:szCs w:val="21"/>
                <w:highlight w:val="none"/>
                <w:lang w:val="en-US" w:eastAsia="zh-CN"/>
              </w:rPr>
            </w:pPr>
            <w:r>
              <w:rPr>
                <w:rFonts w:hint="eastAsia" w:ascii="仿宋" w:hAnsi="仿宋" w:eastAsia="仿宋" w:cs="仿宋"/>
                <w:snapToGrid/>
                <w:kern w:val="0"/>
                <w:szCs w:val="21"/>
                <w:highlight w:val="none"/>
                <w:lang w:val="en-US" w:eastAsia="zh-CN"/>
              </w:rPr>
              <w:t>获奖情况（5分）</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36C68C24">
            <w:pPr>
              <w:widowControl/>
              <w:kinsoku/>
              <w:autoSpaceDE/>
              <w:autoSpaceDN/>
              <w:adjustRightInd/>
              <w:snapToGrid/>
              <w:spacing w:line="240" w:lineRule="auto"/>
              <w:jc w:val="left"/>
              <w:textAlignment w:val="auto"/>
              <w:rPr>
                <w:rFonts w:hint="eastAsia" w:ascii="仿宋" w:hAnsi="仿宋" w:eastAsia="仿宋" w:cs="仿宋"/>
                <w:b w:val="0"/>
                <w:bCs w:val="0"/>
                <w:snapToGrid/>
                <w:kern w:val="0"/>
                <w:szCs w:val="21"/>
                <w:highlight w:val="none"/>
                <w:lang w:val="en-US" w:eastAsia="zh-CN"/>
              </w:rPr>
            </w:pPr>
            <w:r>
              <w:rPr>
                <w:rFonts w:hint="eastAsia" w:ascii="仿宋" w:hAnsi="仿宋" w:eastAsia="仿宋" w:cs="仿宋"/>
                <w:b w:val="0"/>
                <w:bCs w:val="0"/>
                <w:snapToGrid/>
                <w:kern w:val="0"/>
                <w:szCs w:val="21"/>
                <w:highlight w:val="none"/>
                <w:lang w:val="en-US" w:eastAsia="zh-CN"/>
              </w:rPr>
              <w:t>自2021年1月1日至今，竞投人获得司法行政机关或其他行业机构授予的奖项或荣誉称号的，每提供1个得2分，最高得5分。</w:t>
            </w:r>
          </w:p>
          <w:p w14:paraId="46D3A7C3">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none"/>
                <w:lang w:eastAsia="zh-CN"/>
              </w:rPr>
            </w:pPr>
            <w:r>
              <w:rPr>
                <w:rFonts w:hint="eastAsia" w:ascii="仿宋" w:hAnsi="仿宋" w:eastAsia="仿宋" w:cs="仿宋"/>
                <w:b w:val="0"/>
                <w:bCs w:val="0"/>
                <w:snapToGrid/>
                <w:kern w:val="0"/>
                <w:szCs w:val="21"/>
                <w:highlight w:val="none"/>
                <w:lang w:val="en-US" w:eastAsia="zh-CN"/>
              </w:rPr>
              <w:t>注：须提供授予称号或奖项的相关证明材料复印件，同一奖项多次得奖不累计计分。</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21E3D7E3">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none"/>
                <w:lang w:eastAsia="zh-CN"/>
              </w:rPr>
            </w:pPr>
          </w:p>
        </w:tc>
      </w:tr>
      <w:tr w14:paraId="1180A74F">
        <w:tblPrEx>
          <w:tblCellMar>
            <w:top w:w="0" w:type="dxa"/>
            <w:left w:w="108" w:type="dxa"/>
            <w:bottom w:w="0" w:type="dxa"/>
            <w:right w:w="108" w:type="dxa"/>
          </w:tblCellMar>
        </w:tblPrEx>
        <w:trPr>
          <w:gridAfter w:val="1"/>
          <w:wAfter w:w="236" w:type="dxa"/>
          <w:trHeight w:val="1342" w:hRule="atLeast"/>
        </w:trPr>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14:paraId="521A1BBE">
            <w:pPr>
              <w:widowControl/>
              <w:kinsoku/>
              <w:autoSpaceDE/>
              <w:autoSpaceDN/>
              <w:adjustRightInd/>
              <w:snapToGrid/>
              <w:spacing w:line="240" w:lineRule="auto"/>
              <w:jc w:val="center"/>
              <w:textAlignment w:val="auto"/>
              <w:rPr>
                <w:rFonts w:hint="eastAsia" w:ascii="仿宋" w:hAnsi="仿宋" w:eastAsia="仿宋" w:cs="仿宋"/>
                <w:snapToGrid/>
                <w:kern w:val="0"/>
                <w:szCs w:val="21"/>
                <w:highlight w:val="none"/>
                <w:lang w:val="en-US" w:eastAsia="zh-CN"/>
              </w:rPr>
            </w:pPr>
            <w:r>
              <w:rPr>
                <w:rFonts w:hint="eastAsia" w:ascii="仿宋" w:hAnsi="仿宋" w:eastAsia="仿宋" w:cs="仿宋"/>
                <w:snapToGrid/>
                <w:kern w:val="0"/>
                <w:szCs w:val="21"/>
                <w:highlight w:val="none"/>
                <w:lang w:val="en-US" w:eastAsia="zh-CN"/>
              </w:rPr>
              <w:t>4</w:t>
            </w:r>
          </w:p>
        </w:tc>
        <w:tc>
          <w:tcPr>
            <w:tcW w:w="2360" w:type="dxa"/>
            <w:vMerge w:val="restart"/>
            <w:tcBorders>
              <w:top w:val="single" w:color="auto" w:sz="4" w:space="0"/>
              <w:left w:val="single" w:color="auto" w:sz="4" w:space="0"/>
              <w:bottom w:val="single" w:color="auto" w:sz="4" w:space="0"/>
              <w:right w:val="single" w:color="auto" w:sz="4" w:space="0"/>
            </w:tcBorders>
            <w:noWrap w:val="0"/>
            <w:vAlign w:val="center"/>
          </w:tcPr>
          <w:p w14:paraId="2D9D13F9">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拟投入主办律师、律师团队资历情况</w:t>
            </w:r>
          </w:p>
          <w:p w14:paraId="614DA57B">
            <w:pPr>
              <w:widowControl/>
              <w:kinsoku/>
              <w:autoSpaceDE/>
              <w:autoSpaceDN/>
              <w:adjustRightInd/>
              <w:snapToGrid/>
              <w:spacing w:line="240" w:lineRule="auto"/>
              <w:jc w:val="center"/>
              <w:textAlignment w:val="auto"/>
              <w:rPr>
                <w:rFonts w:hint="eastAsia" w:ascii="仿宋" w:hAnsi="仿宋" w:eastAsia="仿宋" w:cs="仿宋"/>
                <w:snapToGrid/>
                <w:kern w:val="0"/>
                <w:szCs w:val="21"/>
                <w:highlight w:val="none"/>
                <w:lang w:val="en-US" w:eastAsia="zh-CN"/>
              </w:rPr>
            </w:pPr>
            <w:r>
              <w:rPr>
                <w:rFonts w:hint="eastAsia" w:ascii="仿宋" w:hAnsi="仿宋" w:eastAsia="仿宋" w:cs="仿宋"/>
                <w:kern w:val="0"/>
                <w:szCs w:val="21"/>
                <w:highlight w:val="none"/>
                <w:lang w:val="en-US" w:eastAsia="zh-CN"/>
              </w:rPr>
              <w:t>（12分）</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4ACD952A">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none"/>
                <w:lang w:val="en-US" w:eastAsia="zh-CN"/>
              </w:rPr>
            </w:pPr>
            <w:r>
              <w:rPr>
                <w:rFonts w:hint="eastAsia" w:ascii="仿宋" w:hAnsi="仿宋" w:eastAsia="仿宋" w:cs="仿宋"/>
                <w:snapToGrid/>
                <w:kern w:val="0"/>
                <w:szCs w:val="21"/>
                <w:highlight w:val="none"/>
                <w:lang w:val="en-US" w:eastAsia="zh-CN"/>
              </w:rPr>
              <w:t>拟投入的主办律师具备10年或以上律师执业经验：3分；</w:t>
            </w:r>
          </w:p>
          <w:p w14:paraId="2226F53A">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none"/>
                <w:lang w:val="en-US" w:eastAsia="zh-CN"/>
              </w:rPr>
            </w:pPr>
            <w:r>
              <w:rPr>
                <w:rFonts w:hint="eastAsia" w:ascii="仿宋" w:hAnsi="仿宋" w:eastAsia="仿宋" w:cs="仿宋"/>
                <w:snapToGrid/>
                <w:kern w:val="0"/>
                <w:szCs w:val="21"/>
                <w:highlight w:val="none"/>
                <w:lang w:val="en-US" w:eastAsia="zh-CN"/>
              </w:rPr>
              <w:t>具备8年或以上，不足10年律师执业经验：2分；</w:t>
            </w:r>
          </w:p>
          <w:p w14:paraId="03C4B40D">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none"/>
                <w:lang w:val="en-US" w:eastAsia="zh-CN"/>
              </w:rPr>
            </w:pPr>
            <w:r>
              <w:rPr>
                <w:rFonts w:hint="eastAsia" w:ascii="仿宋" w:hAnsi="仿宋" w:eastAsia="仿宋" w:cs="仿宋"/>
                <w:snapToGrid/>
                <w:kern w:val="0"/>
                <w:szCs w:val="21"/>
                <w:highlight w:val="none"/>
                <w:lang w:val="en-US" w:eastAsia="zh-CN"/>
              </w:rPr>
              <w:t>不足8年律师执业经验：1分；</w:t>
            </w:r>
          </w:p>
          <w:p w14:paraId="7B60E9DB">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none"/>
                <w:lang w:val="en-US" w:eastAsia="zh-CN"/>
              </w:rPr>
            </w:pPr>
            <w:r>
              <w:rPr>
                <w:rFonts w:hint="eastAsia" w:ascii="仿宋" w:hAnsi="仿宋" w:eastAsia="仿宋" w:cs="仿宋"/>
                <w:snapToGrid/>
                <w:kern w:val="0"/>
                <w:szCs w:val="21"/>
                <w:highlight w:val="none"/>
                <w:lang w:val="en-US" w:eastAsia="zh-CN"/>
              </w:rPr>
              <w:t>本项最高3分。</w:t>
            </w:r>
          </w:p>
          <w:p w14:paraId="6F5536A7">
            <w:pPr>
              <w:widowControl/>
              <w:kinsoku/>
              <w:autoSpaceDE/>
              <w:autoSpaceDN/>
              <w:adjustRightInd/>
              <w:snapToGrid/>
              <w:spacing w:line="240" w:lineRule="auto"/>
              <w:jc w:val="left"/>
              <w:textAlignment w:val="auto"/>
              <w:rPr>
                <w:rFonts w:hint="eastAsia" w:ascii="仿宋" w:hAnsi="仿宋" w:eastAsia="仿宋" w:cs="仿宋"/>
                <w:b/>
                <w:snapToGrid/>
                <w:kern w:val="2"/>
                <w:szCs w:val="21"/>
                <w:highlight w:val="none"/>
                <w:lang w:eastAsia="zh-CN"/>
              </w:rPr>
            </w:pPr>
            <w:r>
              <w:rPr>
                <w:rFonts w:hint="eastAsia" w:ascii="仿宋" w:hAnsi="仿宋" w:eastAsia="仿宋" w:cs="仿宋"/>
                <w:snapToGrid/>
                <w:kern w:val="0"/>
                <w:szCs w:val="21"/>
                <w:highlight w:val="none"/>
                <w:lang w:val="en-US" w:eastAsia="zh-CN"/>
              </w:rPr>
              <w:t>备注：需提供律师执业证等相关证明材料复印件，以律师执业证的首次发证日期至投标截止日止进行计算。不提供不得分。</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6EFA24EB">
            <w:pPr>
              <w:widowControl/>
              <w:kinsoku/>
              <w:autoSpaceDE/>
              <w:autoSpaceDN/>
              <w:adjustRightInd/>
              <w:snapToGrid/>
              <w:spacing w:line="240" w:lineRule="auto"/>
              <w:jc w:val="left"/>
              <w:textAlignment w:val="auto"/>
              <w:rPr>
                <w:rFonts w:hint="eastAsia" w:ascii="仿宋" w:hAnsi="仿宋" w:eastAsia="仿宋" w:cs="仿宋"/>
                <w:b w:val="0"/>
                <w:bCs w:val="0"/>
                <w:snapToGrid/>
                <w:kern w:val="0"/>
                <w:szCs w:val="21"/>
                <w:highlight w:val="none"/>
                <w:lang w:val="en-US" w:eastAsia="zh-CN"/>
              </w:rPr>
            </w:pPr>
          </w:p>
        </w:tc>
      </w:tr>
      <w:tr w14:paraId="0403D03E">
        <w:tblPrEx>
          <w:tblCellMar>
            <w:top w:w="0" w:type="dxa"/>
            <w:left w:w="108" w:type="dxa"/>
            <w:bottom w:w="0" w:type="dxa"/>
            <w:right w:w="108" w:type="dxa"/>
          </w:tblCellMar>
        </w:tblPrEx>
        <w:trPr>
          <w:gridAfter w:val="1"/>
          <w:wAfter w:w="236" w:type="dxa"/>
          <w:trHeight w:val="1342" w:hRule="atLeast"/>
        </w:trPr>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2D9B861A">
            <w:pPr>
              <w:widowControl/>
              <w:kinsoku/>
              <w:autoSpaceDE/>
              <w:autoSpaceDN/>
              <w:adjustRightInd/>
              <w:snapToGrid/>
              <w:spacing w:line="240" w:lineRule="auto"/>
              <w:jc w:val="center"/>
              <w:textAlignment w:val="auto"/>
              <w:rPr>
                <w:rFonts w:hint="eastAsia" w:ascii="仿宋" w:hAnsi="仿宋" w:eastAsia="仿宋" w:cs="仿宋"/>
                <w:snapToGrid/>
                <w:kern w:val="0"/>
                <w:szCs w:val="21"/>
                <w:highlight w:val="none"/>
                <w:lang w:val="en-US" w:eastAsia="zh-CN"/>
              </w:rPr>
            </w:pPr>
          </w:p>
        </w:tc>
        <w:tc>
          <w:tcPr>
            <w:tcW w:w="2360" w:type="dxa"/>
            <w:vMerge w:val="continue"/>
            <w:tcBorders>
              <w:top w:val="single" w:color="auto" w:sz="4" w:space="0"/>
              <w:left w:val="single" w:color="auto" w:sz="4" w:space="0"/>
              <w:bottom w:val="single" w:color="auto" w:sz="4" w:space="0"/>
              <w:right w:val="single" w:color="auto" w:sz="4" w:space="0"/>
            </w:tcBorders>
            <w:noWrap w:val="0"/>
            <w:vAlign w:val="center"/>
          </w:tcPr>
          <w:p w14:paraId="38B9D249">
            <w:pPr>
              <w:widowControl/>
              <w:kinsoku/>
              <w:autoSpaceDE/>
              <w:autoSpaceDN/>
              <w:adjustRightInd/>
              <w:snapToGrid/>
              <w:spacing w:line="240" w:lineRule="auto"/>
              <w:jc w:val="center"/>
              <w:textAlignment w:val="auto"/>
              <w:rPr>
                <w:rFonts w:hint="eastAsia" w:ascii="仿宋" w:hAnsi="仿宋" w:eastAsia="仿宋" w:cs="仿宋"/>
                <w:snapToGrid/>
                <w:kern w:val="0"/>
                <w:szCs w:val="21"/>
                <w:highlight w:val="none"/>
                <w:lang w:val="en-US" w:eastAsia="zh-CN"/>
              </w:rPr>
            </w:pPr>
          </w:p>
        </w:tc>
        <w:tc>
          <w:tcPr>
            <w:tcW w:w="5650" w:type="dxa"/>
            <w:tcBorders>
              <w:top w:val="single" w:color="auto" w:sz="4" w:space="0"/>
              <w:left w:val="single" w:color="auto" w:sz="4" w:space="0"/>
              <w:bottom w:val="single" w:color="auto" w:sz="4" w:space="0"/>
              <w:right w:val="single" w:color="auto" w:sz="4" w:space="0"/>
            </w:tcBorders>
            <w:noWrap w:val="0"/>
            <w:vAlign w:val="center"/>
          </w:tcPr>
          <w:p w14:paraId="49D84702">
            <w:pPr>
              <w:widowControl/>
              <w:kinsoku/>
              <w:autoSpaceDE/>
              <w:autoSpaceDN/>
              <w:adjustRightInd/>
              <w:snapToGrid/>
              <w:spacing w:line="240" w:lineRule="auto"/>
              <w:jc w:val="left"/>
              <w:textAlignment w:val="auto"/>
              <w:rPr>
                <w:rFonts w:hint="eastAsia" w:ascii="仿宋" w:hAnsi="仿宋" w:eastAsia="仿宋" w:cs="仿宋"/>
                <w:snapToGrid/>
                <w:color w:val="auto"/>
                <w:kern w:val="2"/>
                <w:sz w:val="21"/>
                <w:szCs w:val="21"/>
                <w:highlight w:val="none"/>
                <w:lang w:eastAsia="zh-CN"/>
              </w:rPr>
            </w:pPr>
            <w:r>
              <w:rPr>
                <w:rFonts w:hint="eastAsia" w:ascii="仿宋" w:hAnsi="仿宋" w:eastAsia="仿宋" w:cs="仿宋"/>
                <w:b w:val="0"/>
                <w:bCs w:val="0"/>
                <w:snapToGrid/>
                <w:color w:val="auto"/>
                <w:kern w:val="2"/>
                <w:sz w:val="21"/>
                <w:szCs w:val="21"/>
                <w:highlight w:val="none"/>
                <w:lang w:val="en-US" w:eastAsia="zh-CN" w:bidi="ar-SA"/>
              </w:rPr>
              <w:t>拟投入的律师团队成员均具有</w:t>
            </w:r>
            <w:r>
              <w:rPr>
                <w:rFonts w:hint="eastAsia" w:ascii="仿宋" w:hAnsi="仿宋" w:eastAsia="仿宋" w:cs="仿宋"/>
                <w:snapToGrid/>
                <w:color w:val="auto"/>
                <w:kern w:val="2"/>
                <w:sz w:val="21"/>
                <w:szCs w:val="21"/>
                <w:highlight w:val="none"/>
                <w:lang w:eastAsia="zh-CN"/>
              </w:rPr>
              <w:t>法学学士</w:t>
            </w:r>
            <w:r>
              <w:rPr>
                <w:rFonts w:hint="eastAsia" w:ascii="仿宋" w:hAnsi="仿宋" w:eastAsia="仿宋" w:cs="仿宋"/>
                <w:snapToGrid/>
                <w:color w:val="auto"/>
                <w:kern w:val="2"/>
                <w:sz w:val="21"/>
                <w:szCs w:val="21"/>
                <w:highlight w:val="none"/>
                <w:lang w:val="en-US" w:eastAsia="zh-CN"/>
              </w:rPr>
              <w:t>或以上</w:t>
            </w:r>
            <w:r>
              <w:rPr>
                <w:rFonts w:hint="eastAsia" w:ascii="仿宋" w:hAnsi="仿宋" w:eastAsia="仿宋" w:cs="仿宋"/>
                <w:snapToGrid/>
                <w:color w:val="auto"/>
                <w:kern w:val="2"/>
                <w:sz w:val="21"/>
                <w:szCs w:val="21"/>
                <w:highlight w:val="none"/>
                <w:lang w:eastAsia="zh-CN"/>
              </w:rPr>
              <w:t>学位的得1分，</w:t>
            </w:r>
            <w:r>
              <w:rPr>
                <w:rFonts w:hint="eastAsia" w:ascii="仿宋" w:hAnsi="仿宋" w:eastAsia="仿宋" w:cs="仿宋"/>
                <w:snapToGrid/>
                <w:color w:val="auto"/>
                <w:kern w:val="2"/>
                <w:sz w:val="21"/>
                <w:szCs w:val="21"/>
                <w:highlight w:val="none"/>
                <w:lang w:val="en-US" w:eastAsia="zh-CN"/>
              </w:rPr>
              <w:t>每1名</w:t>
            </w:r>
            <w:r>
              <w:rPr>
                <w:rFonts w:hint="eastAsia" w:ascii="仿宋" w:hAnsi="仿宋" w:eastAsia="仿宋" w:cs="仿宋"/>
                <w:snapToGrid/>
                <w:color w:val="auto"/>
                <w:kern w:val="2"/>
                <w:sz w:val="21"/>
                <w:szCs w:val="21"/>
                <w:highlight w:val="none"/>
                <w:lang w:eastAsia="zh-CN"/>
              </w:rPr>
              <w:t>法学硕士</w:t>
            </w:r>
            <w:r>
              <w:rPr>
                <w:rFonts w:hint="eastAsia" w:ascii="仿宋" w:hAnsi="仿宋" w:eastAsia="仿宋" w:cs="仿宋"/>
                <w:snapToGrid/>
                <w:color w:val="auto"/>
                <w:kern w:val="2"/>
                <w:sz w:val="21"/>
                <w:szCs w:val="21"/>
                <w:highlight w:val="none"/>
                <w:lang w:val="en-US" w:eastAsia="zh-CN"/>
              </w:rPr>
              <w:t>或以上</w:t>
            </w:r>
            <w:r>
              <w:rPr>
                <w:rFonts w:hint="eastAsia" w:ascii="仿宋" w:hAnsi="仿宋" w:eastAsia="仿宋" w:cs="仿宋"/>
                <w:snapToGrid/>
                <w:color w:val="auto"/>
                <w:kern w:val="2"/>
                <w:sz w:val="21"/>
                <w:szCs w:val="21"/>
                <w:highlight w:val="none"/>
                <w:lang w:eastAsia="zh-CN"/>
              </w:rPr>
              <w:t>学位的</w:t>
            </w:r>
            <w:r>
              <w:rPr>
                <w:rFonts w:hint="eastAsia" w:ascii="仿宋" w:hAnsi="仿宋" w:eastAsia="仿宋" w:cs="仿宋"/>
                <w:snapToGrid/>
                <w:color w:val="auto"/>
                <w:kern w:val="2"/>
                <w:sz w:val="21"/>
                <w:szCs w:val="21"/>
                <w:highlight w:val="none"/>
                <w:lang w:val="en-US" w:eastAsia="zh-CN"/>
              </w:rPr>
              <w:t>加1</w:t>
            </w:r>
            <w:r>
              <w:rPr>
                <w:rFonts w:hint="eastAsia" w:ascii="仿宋" w:hAnsi="仿宋" w:eastAsia="仿宋" w:cs="仿宋"/>
                <w:snapToGrid/>
                <w:color w:val="auto"/>
                <w:kern w:val="2"/>
                <w:sz w:val="21"/>
                <w:szCs w:val="21"/>
                <w:highlight w:val="none"/>
                <w:lang w:eastAsia="zh-CN"/>
              </w:rPr>
              <w:t>分，本小项最高得</w:t>
            </w:r>
            <w:r>
              <w:rPr>
                <w:rFonts w:hint="eastAsia" w:ascii="仿宋" w:hAnsi="仿宋" w:eastAsia="仿宋" w:cs="仿宋"/>
                <w:snapToGrid/>
                <w:color w:val="auto"/>
                <w:kern w:val="2"/>
                <w:sz w:val="21"/>
                <w:szCs w:val="21"/>
                <w:highlight w:val="none"/>
                <w:lang w:val="en-US" w:eastAsia="zh-CN"/>
              </w:rPr>
              <w:t>3</w:t>
            </w:r>
            <w:r>
              <w:rPr>
                <w:rFonts w:hint="eastAsia" w:ascii="仿宋" w:hAnsi="仿宋" w:eastAsia="仿宋" w:cs="仿宋"/>
                <w:snapToGrid/>
                <w:color w:val="auto"/>
                <w:kern w:val="2"/>
                <w:sz w:val="21"/>
                <w:szCs w:val="21"/>
                <w:highlight w:val="none"/>
                <w:lang w:eastAsia="zh-CN"/>
              </w:rPr>
              <w:t>分。</w:t>
            </w:r>
          </w:p>
          <w:p w14:paraId="2259E98B">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none"/>
                <w:lang w:val="en-US" w:eastAsia="zh-CN"/>
              </w:rPr>
            </w:pPr>
            <w:r>
              <w:rPr>
                <w:rFonts w:hint="eastAsia" w:ascii="仿宋" w:hAnsi="仿宋" w:eastAsia="仿宋" w:cs="仿宋"/>
                <w:snapToGrid/>
                <w:color w:val="auto"/>
                <w:kern w:val="2"/>
                <w:sz w:val="21"/>
                <w:szCs w:val="21"/>
                <w:highlight w:val="none"/>
                <w:lang w:val="en-US" w:eastAsia="zh-CN"/>
              </w:rPr>
              <w:t>备注：</w:t>
            </w:r>
            <w:r>
              <w:rPr>
                <w:rFonts w:hint="eastAsia" w:ascii="仿宋" w:hAnsi="仿宋" w:eastAsia="仿宋" w:cs="仿宋"/>
                <w:b w:val="0"/>
                <w:bCs w:val="0"/>
                <w:snapToGrid/>
                <w:color w:val="auto"/>
                <w:kern w:val="2"/>
                <w:sz w:val="21"/>
                <w:szCs w:val="21"/>
                <w:highlight w:val="none"/>
                <w:lang w:val="en-US" w:eastAsia="zh-CN"/>
              </w:rPr>
              <w:t>提供相关证书复印件</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5D1012DA">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none"/>
                <w:lang w:val="en-US" w:eastAsia="zh-CN"/>
              </w:rPr>
            </w:pPr>
          </w:p>
        </w:tc>
      </w:tr>
      <w:tr w14:paraId="6982AB86">
        <w:tblPrEx>
          <w:tblCellMar>
            <w:top w:w="0" w:type="dxa"/>
            <w:left w:w="108" w:type="dxa"/>
            <w:bottom w:w="0" w:type="dxa"/>
            <w:right w:w="108" w:type="dxa"/>
          </w:tblCellMar>
        </w:tblPrEx>
        <w:trPr>
          <w:gridAfter w:val="1"/>
          <w:wAfter w:w="236" w:type="dxa"/>
          <w:trHeight w:val="1342" w:hRule="atLeast"/>
        </w:trPr>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52C6022A">
            <w:pPr>
              <w:widowControl/>
              <w:kinsoku/>
              <w:autoSpaceDE/>
              <w:autoSpaceDN/>
              <w:adjustRightInd/>
              <w:snapToGrid/>
              <w:spacing w:line="240" w:lineRule="auto"/>
              <w:jc w:val="center"/>
              <w:textAlignment w:val="auto"/>
              <w:rPr>
                <w:rFonts w:hint="eastAsia" w:ascii="仿宋" w:hAnsi="仿宋" w:eastAsia="仿宋" w:cs="仿宋"/>
                <w:snapToGrid/>
                <w:kern w:val="0"/>
                <w:szCs w:val="21"/>
                <w:highlight w:val="yellow"/>
                <w:lang w:eastAsia="zh-CN"/>
              </w:rPr>
            </w:pPr>
          </w:p>
        </w:tc>
        <w:tc>
          <w:tcPr>
            <w:tcW w:w="2360" w:type="dxa"/>
            <w:vMerge w:val="continue"/>
            <w:tcBorders>
              <w:top w:val="single" w:color="auto" w:sz="4" w:space="0"/>
              <w:left w:val="single" w:color="auto" w:sz="4" w:space="0"/>
              <w:bottom w:val="single" w:color="auto" w:sz="4" w:space="0"/>
              <w:right w:val="single" w:color="auto" w:sz="4" w:space="0"/>
            </w:tcBorders>
            <w:noWrap w:val="0"/>
            <w:vAlign w:val="center"/>
          </w:tcPr>
          <w:p w14:paraId="03033FE4">
            <w:pPr>
              <w:widowControl/>
              <w:kinsoku/>
              <w:autoSpaceDE/>
              <w:autoSpaceDN/>
              <w:adjustRightInd/>
              <w:snapToGrid/>
              <w:spacing w:line="240" w:lineRule="auto"/>
              <w:jc w:val="center"/>
              <w:textAlignment w:val="auto"/>
              <w:rPr>
                <w:rFonts w:hint="eastAsia" w:ascii="仿宋" w:hAnsi="仿宋" w:eastAsia="仿宋" w:cs="仿宋"/>
                <w:snapToGrid/>
                <w:kern w:val="0"/>
                <w:szCs w:val="21"/>
                <w:highlight w:val="none"/>
                <w:lang w:val="en-US" w:eastAsia="zh-CN"/>
              </w:rPr>
            </w:pPr>
          </w:p>
        </w:tc>
        <w:tc>
          <w:tcPr>
            <w:tcW w:w="5650" w:type="dxa"/>
            <w:tcBorders>
              <w:top w:val="single" w:color="auto" w:sz="4" w:space="0"/>
              <w:left w:val="single" w:color="auto" w:sz="4" w:space="0"/>
              <w:bottom w:val="single" w:color="auto" w:sz="4" w:space="0"/>
              <w:right w:val="single" w:color="auto" w:sz="4" w:space="0"/>
            </w:tcBorders>
            <w:noWrap w:val="0"/>
            <w:vAlign w:val="center"/>
          </w:tcPr>
          <w:p w14:paraId="46FCFDF6">
            <w:pPr>
              <w:widowControl/>
              <w:kinsoku/>
              <w:autoSpaceDE/>
              <w:autoSpaceDN/>
              <w:adjustRightInd/>
              <w:snapToGrid/>
              <w:spacing w:line="240" w:lineRule="auto"/>
              <w:jc w:val="left"/>
              <w:textAlignment w:val="auto"/>
              <w:rPr>
                <w:rFonts w:hint="eastAsia" w:ascii="仿宋" w:hAnsi="仿宋" w:eastAsia="仿宋" w:cs="仿宋"/>
                <w:b w:val="0"/>
                <w:bCs w:val="0"/>
                <w:snapToGrid/>
                <w:color w:val="auto"/>
                <w:kern w:val="2"/>
                <w:sz w:val="21"/>
                <w:szCs w:val="21"/>
                <w:highlight w:val="none"/>
                <w:lang w:eastAsia="zh-CN" w:bidi="ar-SA"/>
              </w:rPr>
            </w:pPr>
            <w:r>
              <w:rPr>
                <w:rFonts w:hint="eastAsia" w:ascii="仿宋" w:hAnsi="仿宋" w:eastAsia="仿宋" w:cs="仿宋"/>
                <w:b w:val="0"/>
                <w:bCs w:val="0"/>
                <w:snapToGrid/>
                <w:color w:val="auto"/>
                <w:kern w:val="2"/>
                <w:sz w:val="21"/>
                <w:szCs w:val="21"/>
                <w:highlight w:val="none"/>
                <w:lang w:val="en-US" w:eastAsia="zh-CN" w:bidi="ar-SA"/>
              </w:rPr>
              <w:t>自2021年1月1日至今，拟投入的律师团队</w:t>
            </w:r>
            <w:r>
              <w:rPr>
                <w:rFonts w:hint="eastAsia" w:ascii="仿宋" w:hAnsi="仿宋" w:eastAsia="仿宋" w:cs="仿宋"/>
                <w:b w:val="0"/>
                <w:bCs w:val="0"/>
                <w:snapToGrid/>
                <w:color w:val="auto"/>
                <w:kern w:val="2"/>
                <w:sz w:val="21"/>
                <w:szCs w:val="21"/>
                <w:highlight w:val="none"/>
                <w:lang w:eastAsia="zh-CN" w:bidi="ar-SA"/>
              </w:rPr>
              <w:t>具有</w:t>
            </w:r>
            <w:r>
              <w:rPr>
                <w:rFonts w:hint="eastAsia" w:ascii="仿宋" w:hAnsi="仿宋" w:eastAsia="仿宋" w:cs="仿宋"/>
                <w:b w:val="0"/>
                <w:bCs w:val="0"/>
                <w:snapToGrid/>
                <w:color w:val="auto"/>
                <w:kern w:val="2"/>
                <w:sz w:val="21"/>
                <w:szCs w:val="21"/>
                <w:highlight w:val="none"/>
                <w:lang w:val="en-US" w:eastAsia="zh-CN" w:bidi="ar-SA"/>
              </w:rPr>
              <w:t>租赁商业纠纷的胜诉业绩经验</w:t>
            </w:r>
            <w:r>
              <w:rPr>
                <w:rFonts w:hint="eastAsia" w:ascii="仿宋" w:hAnsi="仿宋" w:eastAsia="仿宋" w:cs="仿宋"/>
                <w:b w:val="0"/>
                <w:bCs w:val="0"/>
                <w:snapToGrid/>
                <w:color w:val="auto"/>
                <w:kern w:val="2"/>
                <w:sz w:val="21"/>
                <w:szCs w:val="21"/>
                <w:highlight w:val="none"/>
                <w:lang w:eastAsia="zh-CN" w:bidi="ar-SA"/>
              </w:rPr>
              <w:t>，每提供一个业绩经验得</w:t>
            </w:r>
            <w:r>
              <w:rPr>
                <w:rFonts w:hint="eastAsia" w:ascii="仿宋" w:hAnsi="仿宋" w:eastAsia="仿宋" w:cs="仿宋"/>
                <w:b w:val="0"/>
                <w:bCs w:val="0"/>
                <w:snapToGrid/>
                <w:color w:val="auto"/>
                <w:kern w:val="2"/>
                <w:sz w:val="21"/>
                <w:szCs w:val="21"/>
                <w:highlight w:val="none"/>
                <w:lang w:val="en-US" w:eastAsia="zh-CN" w:bidi="ar-SA"/>
              </w:rPr>
              <w:t>1</w:t>
            </w:r>
            <w:r>
              <w:rPr>
                <w:rFonts w:hint="eastAsia" w:ascii="仿宋" w:hAnsi="仿宋" w:eastAsia="仿宋" w:cs="仿宋"/>
                <w:b w:val="0"/>
                <w:bCs w:val="0"/>
                <w:snapToGrid/>
                <w:color w:val="auto"/>
                <w:kern w:val="2"/>
                <w:sz w:val="21"/>
                <w:szCs w:val="21"/>
                <w:highlight w:val="none"/>
                <w:lang w:eastAsia="zh-CN" w:bidi="ar-SA"/>
              </w:rPr>
              <w:t>分，最高</w:t>
            </w:r>
            <w:r>
              <w:rPr>
                <w:rFonts w:hint="eastAsia" w:ascii="仿宋" w:hAnsi="仿宋" w:eastAsia="仿宋" w:cs="仿宋"/>
                <w:b w:val="0"/>
                <w:bCs w:val="0"/>
                <w:snapToGrid/>
                <w:color w:val="auto"/>
                <w:kern w:val="2"/>
                <w:sz w:val="21"/>
                <w:szCs w:val="21"/>
                <w:highlight w:val="none"/>
                <w:lang w:val="en-US" w:eastAsia="zh-CN" w:bidi="ar-SA"/>
              </w:rPr>
              <w:t>6</w:t>
            </w:r>
            <w:r>
              <w:rPr>
                <w:rFonts w:hint="eastAsia" w:ascii="仿宋" w:hAnsi="仿宋" w:eastAsia="仿宋" w:cs="仿宋"/>
                <w:b w:val="0"/>
                <w:bCs w:val="0"/>
                <w:snapToGrid/>
                <w:color w:val="auto"/>
                <w:kern w:val="2"/>
                <w:sz w:val="21"/>
                <w:szCs w:val="21"/>
                <w:highlight w:val="none"/>
                <w:lang w:eastAsia="zh-CN" w:bidi="ar-SA"/>
              </w:rPr>
              <w:t>分。</w:t>
            </w:r>
          </w:p>
          <w:p w14:paraId="709A8920">
            <w:pPr>
              <w:widowControl/>
              <w:kinsoku/>
              <w:autoSpaceDE/>
              <w:autoSpaceDN/>
              <w:adjustRightInd/>
              <w:snapToGrid/>
              <w:spacing w:line="240" w:lineRule="auto"/>
              <w:jc w:val="left"/>
              <w:textAlignment w:val="auto"/>
              <w:rPr>
                <w:rFonts w:hint="eastAsia" w:ascii="仿宋" w:hAnsi="仿宋" w:eastAsia="仿宋" w:cs="仿宋"/>
                <w:snapToGrid/>
                <w:kern w:val="0"/>
                <w:szCs w:val="21"/>
                <w:highlight w:val="none"/>
                <w:lang w:val="en-US" w:eastAsia="zh-CN"/>
              </w:rPr>
            </w:pPr>
            <w:r>
              <w:rPr>
                <w:rFonts w:hint="eastAsia" w:ascii="仿宋" w:hAnsi="仿宋" w:eastAsia="仿宋" w:cs="仿宋"/>
                <w:b w:val="0"/>
                <w:bCs w:val="0"/>
                <w:snapToGrid/>
                <w:color w:val="auto"/>
                <w:kern w:val="2"/>
                <w:sz w:val="21"/>
                <w:szCs w:val="21"/>
                <w:highlight w:val="none"/>
                <w:lang w:val="en-US" w:eastAsia="zh-CN" w:bidi="ar-SA"/>
              </w:rPr>
              <w:t>备注：</w:t>
            </w:r>
            <w:r>
              <w:rPr>
                <w:rFonts w:hint="eastAsia" w:ascii="仿宋_GB2312" w:hAnsi="仿宋_GB2312" w:eastAsia="仿宋_GB2312" w:cs="仿宋_GB2312"/>
                <w:b w:val="0"/>
                <w:bCs w:val="0"/>
                <w:snapToGrid/>
                <w:kern w:val="2"/>
                <w:sz w:val="21"/>
                <w:szCs w:val="21"/>
                <w:highlight w:val="none"/>
                <w:lang w:val="en-US" w:eastAsia="zh-CN" w:bidi="ar-SA"/>
              </w:rPr>
              <w:t>胜诉业绩是生效裁判文书支持的诉讼请求或驳回对方请求的金额，以提供的生效裁判文书为准。</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6EFDE9E6">
            <w:pPr>
              <w:widowControl/>
              <w:kinsoku/>
              <w:autoSpaceDE/>
              <w:autoSpaceDN/>
              <w:adjustRightInd/>
              <w:snapToGrid/>
              <w:spacing w:line="240" w:lineRule="auto"/>
              <w:jc w:val="left"/>
              <w:textAlignment w:val="auto"/>
              <w:rPr>
                <w:rFonts w:hint="eastAsia" w:ascii="仿宋" w:hAnsi="仿宋" w:eastAsia="仿宋" w:cs="仿宋"/>
                <w:snapToGrid/>
                <w:color w:val="auto"/>
                <w:kern w:val="2"/>
                <w:sz w:val="21"/>
                <w:szCs w:val="21"/>
                <w:highlight w:val="none"/>
                <w:lang w:val="en-US" w:eastAsia="zh-CN"/>
              </w:rPr>
            </w:pPr>
          </w:p>
        </w:tc>
      </w:tr>
      <w:tr w14:paraId="1D32EF18">
        <w:tblPrEx>
          <w:tblCellMar>
            <w:top w:w="0" w:type="dxa"/>
            <w:left w:w="108" w:type="dxa"/>
            <w:bottom w:w="0" w:type="dxa"/>
            <w:right w:w="108" w:type="dxa"/>
          </w:tblCellMar>
        </w:tblPrEx>
        <w:trPr>
          <w:gridAfter w:val="1"/>
          <w:wAfter w:w="236" w:type="dxa"/>
          <w:trHeight w:val="1342" w:hRule="atLeast"/>
        </w:trPr>
        <w:tc>
          <w:tcPr>
            <w:tcW w:w="9063" w:type="dxa"/>
            <w:gridSpan w:val="3"/>
            <w:tcBorders>
              <w:top w:val="single" w:color="auto" w:sz="4" w:space="0"/>
              <w:left w:val="single" w:color="auto" w:sz="4" w:space="0"/>
              <w:bottom w:val="single" w:color="auto" w:sz="4" w:space="0"/>
              <w:right w:val="single" w:color="auto" w:sz="4" w:space="0"/>
            </w:tcBorders>
            <w:noWrap w:val="0"/>
            <w:vAlign w:val="center"/>
          </w:tcPr>
          <w:p w14:paraId="24E6C290">
            <w:pPr>
              <w:widowControl/>
              <w:kinsoku/>
              <w:autoSpaceDE/>
              <w:autoSpaceDN/>
              <w:adjustRightInd/>
              <w:snapToGrid/>
              <w:spacing w:line="240" w:lineRule="auto"/>
              <w:jc w:val="center"/>
              <w:textAlignment w:val="auto"/>
              <w:rPr>
                <w:rFonts w:hint="default" w:ascii="仿宋" w:hAnsi="仿宋" w:eastAsia="仿宋" w:cs="仿宋"/>
                <w:b w:val="0"/>
                <w:bCs w:val="0"/>
                <w:snapToGrid/>
                <w:color w:val="auto"/>
                <w:kern w:val="2"/>
                <w:sz w:val="21"/>
                <w:szCs w:val="21"/>
                <w:highlight w:val="none"/>
                <w:lang w:val="en-US" w:eastAsia="zh-CN" w:bidi="ar-SA"/>
              </w:rPr>
            </w:pPr>
            <w:r>
              <w:rPr>
                <w:rFonts w:hint="eastAsia" w:ascii="仿宋" w:hAnsi="仿宋" w:eastAsia="仿宋" w:cs="仿宋"/>
                <w:b w:val="0"/>
                <w:bCs w:val="0"/>
                <w:snapToGrid/>
                <w:color w:val="auto"/>
                <w:kern w:val="2"/>
                <w:sz w:val="21"/>
                <w:szCs w:val="21"/>
                <w:highlight w:val="none"/>
                <w:lang w:val="en-US" w:eastAsia="zh-CN" w:bidi="ar-SA"/>
              </w:rPr>
              <w:t>合计：100分</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0F164F9E">
            <w:pPr>
              <w:widowControl/>
              <w:kinsoku/>
              <w:autoSpaceDE/>
              <w:autoSpaceDN/>
              <w:adjustRightInd/>
              <w:snapToGrid/>
              <w:spacing w:line="240" w:lineRule="auto"/>
              <w:jc w:val="left"/>
              <w:textAlignment w:val="auto"/>
              <w:rPr>
                <w:rFonts w:hint="eastAsia" w:ascii="仿宋" w:hAnsi="仿宋" w:eastAsia="仿宋" w:cs="仿宋"/>
                <w:snapToGrid/>
                <w:color w:val="auto"/>
                <w:kern w:val="2"/>
                <w:sz w:val="21"/>
                <w:szCs w:val="21"/>
                <w:highlight w:val="none"/>
                <w:lang w:val="en-US" w:eastAsia="zh-CN"/>
              </w:rPr>
            </w:pPr>
          </w:p>
        </w:tc>
      </w:tr>
    </w:tbl>
    <w:p w14:paraId="43059EDD">
      <w:pPr>
        <w:widowControl/>
        <w:kinsoku w:val="0"/>
        <w:autoSpaceDE w:val="0"/>
        <w:autoSpaceDN w:val="0"/>
        <w:adjustRightInd w:val="0"/>
        <w:snapToGrid w:val="0"/>
        <w:spacing w:before="71" w:line="224" w:lineRule="auto"/>
        <w:ind w:left="3126"/>
        <w:jc w:val="left"/>
        <w:textAlignment w:val="baseline"/>
        <w:rPr>
          <w:rFonts w:hint="eastAsia" w:ascii="宋体" w:hAnsi="宋体" w:eastAsia="宋体" w:cs="宋体"/>
          <w:snapToGrid/>
          <w:kern w:val="2"/>
          <w:sz w:val="36"/>
          <w:szCs w:val="36"/>
          <w:lang w:eastAsia="zh-CN"/>
        </w:rPr>
        <w:sectPr>
          <w:headerReference r:id="rId5" w:type="default"/>
          <w:footerReference r:id="rId6" w:type="default"/>
          <w:pgSz w:w="11900" w:h="16840"/>
          <w:pgMar w:top="1440" w:right="1247" w:bottom="1021" w:left="1247" w:header="851" w:footer="992" w:gutter="0"/>
          <w:cols w:space="425" w:num="1"/>
          <w:docGrid w:type="lines" w:linePitch="312" w:charSpace="0"/>
        </w:sectPr>
      </w:pPr>
    </w:p>
    <w:p w14:paraId="4B245326">
      <w:pPr>
        <w:pStyle w:val="2"/>
        <w:spacing w:before="49" w:line="222" w:lineRule="auto"/>
        <w:ind w:firstLine="452" w:firstLineChars="200"/>
        <w:rPr>
          <w:rFonts w:hint="eastAsia" w:eastAsia="宋体"/>
          <w:spacing w:val="3"/>
          <w:sz w:val="22"/>
          <w:szCs w:val="22"/>
          <w:lang w:eastAsia="zh-CN"/>
        </w:rPr>
      </w:pPr>
    </w:p>
    <w:p w14:paraId="5840F1A7">
      <w:pPr>
        <w:widowControl/>
        <w:kinsoku w:val="0"/>
        <w:autoSpaceDE w:val="0"/>
        <w:autoSpaceDN w:val="0"/>
        <w:adjustRightInd w:val="0"/>
        <w:snapToGrid w:val="0"/>
        <w:spacing w:before="71" w:line="224" w:lineRule="auto"/>
        <w:ind w:left="3126"/>
        <w:jc w:val="left"/>
        <w:textAlignment w:val="baseline"/>
        <w:rPr>
          <w:rFonts w:ascii="宋体" w:hAnsi="宋体" w:eastAsia="宋体" w:cs="宋体"/>
          <w:snapToGrid w:val="0"/>
          <w:color w:val="000000"/>
          <w:kern w:val="0"/>
          <w:sz w:val="35"/>
          <w:szCs w:val="35"/>
          <w:lang w:eastAsia="en-US"/>
        </w:rPr>
      </w:pPr>
      <w:r>
        <w:rPr>
          <w:rFonts w:hint="eastAsia" w:ascii="宋体" w:hAnsi="宋体" w:eastAsia="宋体" w:cs="宋体"/>
          <w:b/>
          <w:bCs/>
          <w:snapToGrid w:val="0"/>
          <w:color w:val="000000"/>
          <w:spacing w:val="1"/>
          <w:kern w:val="0"/>
          <w:sz w:val="35"/>
          <w:szCs w:val="35"/>
          <w:lang w:val="en-US" w:eastAsia="zh-CN"/>
        </w:rPr>
        <w:t>四、</w:t>
      </w:r>
      <w:r>
        <w:rPr>
          <w:rFonts w:ascii="宋体" w:hAnsi="宋体" w:eastAsia="宋体" w:cs="宋体"/>
          <w:b/>
          <w:bCs/>
          <w:snapToGrid w:val="0"/>
          <w:color w:val="000000"/>
          <w:spacing w:val="1"/>
          <w:kern w:val="0"/>
          <w:sz w:val="35"/>
          <w:szCs w:val="35"/>
          <w:lang w:eastAsia="en-US"/>
        </w:rPr>
        <w:t>采购合同/协议</w:t>
      </w:r>
    </w:p>
    <w:p w14:paraId="7D1536F7">
      <w:pPr>
        <w:keepNext w:val="0"/>
        <w:keepLines w:val="0"/>
        <w:pageBreakBefore w:val="0"/>
        <w:kinsoku/>
        <w:wordWrap/>
        <w:overflowPunct/>
        <w:topLinePunct w:val="0"/>
        <w:autoSpaceDE/>
        <w:autoSpaceDN/>
        <w:bidi w:val="0"/>
        <w:adjustRightInd w:val="0"/>
        <w:snapToGrid w:val="0"/>
        <w:spacing w:line="360" w:lineRule="exact"/>
        <w:ind w:right="420" w:rightChars="200"/>
        <w:jc w:val="center"/>
        <w:textAlignment w:val="auto"/>
        <w:rPr>
          <w:rFonts w:ascii="宋体" w:hAnsi="宋体" w:eastAsia="宋体" w:cs="宋体"/>
          <w:b/>
          <w:bCs/>
          <w:snapToGrid w:val="0"/>
          <w:color w:val="000000"/>
          <w:spacing w:val="7"/>
          <w:kern w:val="0"/>
          <w:sz w:val="20"/>
          <w:szCs w:val="20"/>
          <w:lang w:eastAsia="en-US"/>
        </w:rPr>
      </w:pPr>
      <w:r>
        <w:rPr>
          <w:rFonts w:hint="eastAsia" w:ascii="宋体" w:hAnsi="宋体" w:eastAsia="宋体" w:cs="宋体"/>
          <w:b/>
          <w:bCs/>
          <w:snapToGrid w:val="0"/>
          <w:color w:val="000000"/>
          <w:spacing w:val="8"/>
          <w:kern w:val="0"/>
          <w:sz w:val="20"/>
          <w:szCs w:val="20"/>
          <w:lang w:val="en-US" w:eastAsia="zh-CN"/>
        </w:rPr>
        <w:t xml:space="preserve">   </w:t>
      </w:r>
      <w:r>
        <w:rPr>
          <w:rFonts w:ascii="宋体" w:hAnsi="宋体" w:eastAsia="宋体" w:cs="宋体"/>
          <w:b/>
          <w:bCs/>
          <w:snapToGrid w:val="0"/>
          <w:color w:val="000000"/>
          <w:spacing w:val="8"/>
          <w:kern w:val="0"/>
          <w:sz w:val="20"/>
          <w:szCs w:val="20"/>
          <w:lang w:eastAsia="en-US"/>
        </w:rPr>
        <w:t>（参考样本，未经采购人同意中选人不能对合</w:t>
      </w:r>
      <w:r>
        <w:rPr>
          <w:rFonts w:ascii="宋体" w:hAnsi="宋体" w:eastAsia="宋体" w:cs="宋体"/>
          <w:b/>
          <w:bCs/>
          <w:snapToGrid w:val="0"/>
          <w:color w:val="000000"/>
          <w:spacing w:val="7"/>
          <w:kern w:val="0"/>
          <w:sz w:val="20"/>
          <w:szCs w:val="20"/>
          <w:lang w:eastAsia="en-US"/>
        </w:rPr>
        <w:t>同条款作实质性修改）</w:t>
      </w:r>
    </w:p>
    <w:p w14:paraId="614B281A">
      <w:pPr>
        <w:keepNext w:val="0"/>
        <w:keepLines w:val="0"/>
        <w:pageBreakBefore w:val="0"/>
        <w:kinsoku/>
        <w:wordWrap/>
        <w:overflowPunct/>
        <w:topLinePunct w:val="0"/>
        <w:autoSpaceDE/>
        <w:autoSpaceDN/>
        <w:bidi w:val="0"/>
        <w:adjustRightInd w:val="0"/>
        <w:snapToGrid w:val="0"/>
        <w:spacing w:line="360" w:lineRule="exact"/>
        <w:ind w:right="420" w:rightChars="200"/>
        <w:jc w:val="center"/>
        <w:textAlignment w:val="auto"/>
        <w:rPr>
          <w:rFonts w:hint="eastAsia" w:ascii="宋体" w:hAnsi="宋体" w:eastAsia="宋体" w:cs="宋体"/>
          <w:b/>
          <w:bCs/>
          <w:snapToGrid w:val="0"/>
          <w:color w:val="000000"/>
          <w:spacing w:val="7"/>
          <w:kern w:val="0"/>
          <w:sz w:val="20"/>
          <w:szCs w:val="20"/>
          <w:lang w:eastAsia="en-US"/>
        </w:rPr>
      </w:pPr>
    </w:p>
    <w:p w14:paraId="74E91222">
      <w:pPr>
        <w:spacing w:line="360" w:lineRule="auto"/>
        <w:ind w:right="560" w:firstLine="6505" w:firstLineChars="27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合同编号</w:t>
      </w:r>
      <w:r>
        <w:rPr>
          <w:rFonts w:hint="eastAsia" w:ascii="仿宋_GB2312" w:hAnsi="仿宋_GB2312" w:eastAsia="仿宋_GB2312" w:cs="仿宋_GB2312"/>
          <w:b/>
          <w:sz w:val="24"/>
          <w:szCs w:val="24"/>
          <w:lang w:eastAsia="zh-CN"/>
        </w:rPr>
        <w:t>：</w:t>
      </w:r>
    </w:p>
    <w:p w14:paraId="79D73B37">
      <w:pPr>
        <w:spacing w:line="360" w:lineRule="auto"/>
        <w:jc w:val="center"/>
        <w:rPr>
          <w:rFonts w:hint="eastAsia" w:ascii="仿宋_GB2312" w:hAnsi="仿宋_GB2312" w:eastAsia="仿宋_GB2312" w:cs="仿宋_GB2312"/>
          <w:b/>
          <w:sz w:val="32"/>
          <w:szCs w:val="32"/>
        </w:rPr>
      </w:pPr>
    </w:p>
    <w:p w14:paraId="73039625">
      <w:pPr>
        <w:spacing w:line="360" w:lineRule="auto"/>
        <w:jc w:val="both"/>
        <w:rPr>
          <w:rFonts w:hint="eastAsia" w:ascii="仿宋_GB2312" w:hAnsi="仿宋_GB2312" w:eastAsia="仿宋_GB2312" w:cs="仿宋_GB2312"/>
          <w:b/>
          <w:sz w:val="44"/>
          <w:szCs w:val="44"/>
        </w:rPr>
      </w:pPr>
    </w:p>
    <w:p w14:paraId="4FB80B5C">
      <w:pPr>
        <w:spacing w:line="360" w:lineRule="auto"/>
        <w:jc w:val="both"/>
        <w:rPr>
          <w:rFonts w:hint="eastAsia" w:ascii="仿宋_GB2312" w:hAnsi="仿宋_GB2312" w:eastAsia="仿宋_GB2312" w:cs="仿宋_GB2312"/>
          <w:b/>
          <w:sz w:val="44"/>
          <w:szCs w:val="44"/>
        </w:rPr>
      </w:pPr>
    </w:p>
    <w:p w14:paraId="317FCD76">
      <w:pPr>
        <w:spacing w:line="360" w:lineRule="auto"/>
        <w:jc w:val="center"/>
        <w:rPr>
          <w:rFonts w:hint="eastAsia" w:ascii="仿宋_GB2312" w:hAnsi="仿宋_GB2312" w:eastAsia="仿宋_GB2312" w:cs="仿宋_GB2312"/>
          <w:b/>
          <w:sz w:val="36"/>
          <w:szCs w:val="36"/>
          <w:lang w:eastAsia="zh-CN"/>
        </w:rPr>
      </w:pPr>
      <w:r>
        <w:rPr>
          <w:rFonts w:hint="eastAsia" w:ascii="仿宋_GB2312" w:hAnsi="仿宋_GB2312" w:eastAsia="仿宋_GB2312" w:cs="仿宋_GB2312"/>
          <w:b/>
          <w:sz w:val="36"/>
          <w:szCs w:val="36"/>
          <w:lang w:eastAsia="zh-CN"/>
        </w:rPr>
        <w:t>花城汇北中南三区及海心沙11宗欠费案件</w:t>
      </w:r>
    </w:p>
    <w:p w14:paraId="102BA994">
      <w:pPr>
        <w:spacing w:line="360" w:lineRule="auto"/>
        <w:jc w:val="center"/>
        <w:rPr>
          <w:rFonts w:hint="eastAsia" w:ascii="仿宋_GB2312" w:hAnsi="仿宋_GB2312" w:eastAsia="仿宋_GB2312" w:cs="仿宋_GB2312"/>
          <w:b/>
          <w:sz w:val="36"/>
          <w:szCs w:val="36"/>
          <w:lang w:eastAsia="zh-CN"/>
        </w:rPr>
      </w:pPr>
      <w:r>
        <w:rPr>
          <w:rFonts w:hint="eastAsia" w:ascii="仿宋_GB2312" w:hAnsi="仿宋_GB2312" w:eastAsia="仿宋_GB2312" w:cs="仿宋_GB2312"/>
          <w:b/>
          <w:sz w:val="36"/>
          <w:szCs w:val="36"/>
          <w:lang w:eastAsia="zh-CN"/>
        </w:rPr>
        <w:t>专项律师代理服务采购项目</w:t>
      </w:r>
    </w:p>
    <w:p w14:paraId="0BEE03A7">
      <w:pPr>
        <w:spacing w:line="360" w:lineRule="auto"/>
        <w:jc w:val="center"/>
        <w:rPr>
          <w:rFonts w:hint="eastAsia" w:ascii="仿宋_GB2312" w:hAnsi="仿宋_GB2312" w:eastAsia="仿宋_GB2312" w:cs="仿宋_GB2312"/>
          <w:b/>
          <w:sz w:val="32"/>
          <w:szCs w:val="32"/>
        </w:rPr>
      </w:pPr>
    </w:p>
    <w:p w14:paraId="36D681DD">
      <w:pPr>
        <w:spacing w:line="360" w:lineRule="auto"/>
        <w:jc w:val="center"/>
        <w:rPr>
          <w:rFonts w:hint="eastAsia" w:ascii="仿宋_GB2312" w:hAnsi="仿宋_GB2312" w:eastAsia="仿宋_GB2312" w:cs="仿宋_GB2312"/>
          <w:b/>
          <w:sz w:val="32"/>
          <w:szCs w:val="32"/>
        </w:rPr>
      </w:pPr>
    </w:p>
    <w:p w14:paraId="0A38E89E">
      <w:pPr>
        <w:spacing w:line="360" w:lineRule="auto"/>
        <w:jc w:val="center"/>
        <w:rPr>
          <w:rFonts w:hint="eastAsia" w:ascii="仿宋_GB2312" w:hAnsi="仿宋_GB2312" w:eastAsia="仿宋_GB2312" w:cs="仿宋_GB2312"/>
          <w:b/>
          <w:sz w:val="32"/>
          <w:szCs w:val="32"/>
        </w:rPr>
      </w:pPr>
    </w:p>
    <w:p w14:paraId="077DAA38">
      <w:pPr>
        <w:spacing w:line="360" w:lineRule="auto"/>
        <w:rPr>
          <w:rFonts w:hint="eastAsia" w:ascii="仿宋_GB2312" w:hAnsi="仿宋_GB2312" w:eastAsia="仿宋_GB2312" w:cs="仿宋_GB2312"/>
          <w:b/>
          <w:sz w:val="32"/>
          <w:szCs w:val="32"/>
        </w:rPr>
      </w:pPr>
    </w:p>
    <w:p w14:paraId="01A5BCBD">
      <w:pPr>
        <w:spacing w:line="360" w:lineRule="auto"/>
        <w:ind w:left="371" w:leftChars="13" w:hanging="344" w:hangingChars="107"/>
        <w:jc w:val="center"/>
        <w:rPr>
          <w:rFonts w:hint="eastAsia" w:ascii="仿宋_GB2312" w:hAnsi="仿宋_GB2312" w:eastAsia="仿宋_GB2312" w:cs="仿宋_GB2312"/>
          <w:b/>
          <w:sz w:val="32"/>
          <w:szCs w:val="32"/>
        </w:rPr>
      </w:pPr>
    </w:p>
    <w:p w14:paraId="25668983">
      <w:pPr>
        <w:spacing w:line="360" w:lineRule="auto"/>
        <w:ind w:left="371" w:leftChars="13" w:hanging="344" w:hangingChars="107"/>
        <w:jc w:val="center"/>
        <w:rPr>
          <w:rFonts w:hint="eastAsia" w:ascii="仿宋_GB2312" w:hAnsi="仿宋_GB2312" w:eastAsia="仿宋_GB2312" w:cs="仿宋_GB2312"/>
          <w:b/>
          <w:sz w:val="32"/>
          <w:szCs w:val="32"/>
        </w:rPr>
      </w:pPr>
    </w:p>
    <w:p w14:paraId="5B709DDB">
      <w:pPr>
        <w:spacing w:line="360" w:lineRule="auto"/>
        <w:jc w:val="both"/>
        <w:rPr>
          <w:rFonts w:hint="eastAsia" w:ascii="仿宋_GB2312" w:hAnsi="仿宋_GB2312" w:eastAsia="仿宋_GB2312" w:cs="仿宋_GB2312"/>
          <w:b/>
          <w:sz w:val="32"/>
          <w:szCs w:val="32"/>
        </w:rPr>
      </w:pPr>
    </w:p>
    <w:p w14:paraId="1238F9C9">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甲方：广州市城投资产经营管理有限公司珠江新城分公司</w:t>
      </w:r>
    </w:p>
    <w:p w14:paraId="48EAC4A6">
      <w:pPr>
        <w:spacing w:line="360" w:lineRule="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乙方：</w:t>
      </w:r>
    </w:p>
    <w:p w14:paraId="4ABD95A7">
      <w:pPr>
        <w:spacing w:line="360" w:lineRule="auto"/>
        <w:ind w:left="371" w:leftChars="13" w:hanging="344" w:hangingChars="107"/>
        <w:jc w:val="center"/>
        <w:rPr>
          <w:rFonts w:hint="eastAsia" w:ascii="仿宋_GB2312" w:hAnsi="仿宋_GB2312" w:eastAsia="仿宋_GB2312" w:cs="仿宋_GB2312"/>
          <w:b/>
          <w:sz w:val="32"/>
          <w:szCs w:val="32"/>
        </w:rPr>
      </w:pPr>
    </w:p>
    <w:p w14:paraId="5118EE42">
      <w:pPr>
        <w:spacing w:line="360" w:lineRule="auto"/>
        <w:ind w:left="371" w:leftChars="13" w:hanging="344" w:hangingChars="107"/>
        <w:jc w:val="center"/>
        <w:rPr>
          <w:rFonts w:hint="eastAsia" w:ascii="仿宋_GB2312" w:hAnsi="仿宋_GB2312" w:eastAsia="仿宋_GB2312" w:cs="仿宋_GB2312"/>
          <w:b/>
          <w:sz w:val="32"/>
          <w:szCs w:val="32"/>
        </w:rPr>
      </w:pPr>
    </w:p>
    <w:p w14:paraId="47F8C30F">
      <w:pPr>
        <w:spacing w:line="360" w:lineRule="auto"/>
        <w:ind w:firstLine="3534" w:firstLineChars="11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二〇二</w:t>
      </w:r>
      <w:r>
        <w:rPr>
          <w:rFonts w:hint="eastAsia" w:ascii="仿宋_GB2312" w:hAnsi="仿宋_GB2312" w:eastAsia="仿宋_GB2312" w:cs="仿宋_GB2312"/>
          <w:b/>
          <w:sz w:val="32"/>
          <w:szCs w:val="32"/>
          <w:lang w:val="en-US" w:eastAsia="zh-CN"/>
        </w:rPr>
        <w:t>六</w:t>
      </w:r>
      <w:r>
        <w:rPr>
          <w:rFonts w:hint="eastAsia" w:ascii="仿宋_GB2312" w:hAnsi="仿宋_GB2312" w:eastAsia="仿宋_GB2312" w:cs="仿宋_GB2312"/>
          <w:b/>
          <w:sz w:val="32"/>
          <w:szCs w:val="32"/>
        </w:rPr>
        <w:t>年</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月</w:t>
      </w:r>
    </w:p>
    <w:p w14:paraId="7748871E">
      <w:pPr>
        <w:spacing w:line="360" w:lineRule="auto"/>
        <w:ind w:firstLine="3534" w:firstLineChars="1100"/>
        <w:jc w:val="both"/>
        <w:rPr>
          <w:rFonts w:hint="eastAsia" w:ascii="仿宋_GB2312" w:hAnsi="仿宋_GB2312" w:eastAsia="仿宋_GB2312" w:cs="仿宋_GB2312"/>
          <w:b/>
          <w:sz w:val="32"/>
          <w:szCs w:val="32"/>
        </w:rPr>
      </w:pPr>
    </w:p>
    <w:p w14:paraId="292FFC39">
      <w:pPr>
        <w:spacing w:line="360" w:lineRule="auto"/>
        <w:ind w:firstLine="3534" w:firstLineChars="1100"/>
        <w:jc w:val="both"/>
        <w:rPr>
          <w:rFonts w:hint="eastAsia" w:ascii="仿宋_GB2312" w:hAnsi="仿宋_GB2312" w:eastAsia="仿宋_GB2312" w:cs="仿宋_GB2312"/>
          <w:b/>
          <w:sz w:val="32"/>
          <w:szCs w:val="32"/>
        </w:rPr>
      </w:pPr>
    </w:p>
    <w:p w14:paraId="1011DDF5">
      <w:pPr>
        <w:spacing w:line="360" w:lineRule="auto"/>
        <w:ind w:firstLine="482" w:firstLineChars="200"/>
        <w:rPr>
          <w:rFonts w:hint="eastAsia" w:ascii="仿宋" w:hAnsi="仿宋" w:eastAsia="仿宋"/>
          <w:b/>
          <w:bCs/>
          <w:sz w:val="24"/>
        </w:rPr>
      </w:pPr>
    </w:p>
    <w:p w14:paraId="3023C749">
      <w:pPr>
        <w:spacing w:line="360" w:lineRule="auto"/>
        <w:ind w:firstLine="482" w:firstLineChars="200"/>
        <w:rPr>
          <w:rFonts w:ascii="仿宋" w:hAnsi="仿宋" w:eastAsia="仿宋"/>
          <w:sz w:val="24"/>
        </w:rPr>
      </w:pPr>
      <w:r>
        <w:rPr>
          <w:rFonts w:hint="eastAsia" w:ascii="仿宋" w:hAnsi="仿宋" w:eastAsia="仿宋"/>
          <w:b/>
          <w:bCs/>
          <w:sz w:val="24"/>
        </w:rPr>
        <w:t>甲方（委托方）：</w:t>
      </w:r>
      <w:r>
        <w:rPr>
          <w:rFonts w:hint="eastAsia" w:ascii="仿宋" w:hAnsi="仿宋" w:eastAsia="仿宋"/>
          <w:sz w:val="24"/>
        </w:rPr>
        <w:t>广州市城投资产经营管理有限公司珠江新城分公司</w:t>
      </w:r>
    </w:p>
    <w:p w14:paraId="7482F9D5">
      <w:pPr>
        <w:spacing w:line="360" w:lineRule="auto"/>
        <w:ind w:firstLine="480" w:firstLineChars="200"/>
        <w:rPr>
          <w:rFonts w:ascii="仿宋" w:hAnsi="仿宋" w:eastAsia="仿宋"/>
          <w:sz w:val="24"/>
        </w:rPr>
      </w:pPr>
      <w:r>
        <w:rPr>
          <w:rFonts w:hint="eastAsia" w:ascii="仿宋" w:hAnsi="仿宋" w:eastAsia="仿宋"/>
          <w:sz w:val="24"/>
        </w:rPr>
        <w:t>住所：广州市天河区珠江新城临江大道海心沙岛东区南教学楼</w:t>
      </w:r>
      <w:r>
        <w:rPr>
          <w:rFonts w:ascii="仿宋" w:hAnsi="仿宋" w:eastAsia="仿宋"/>
          <w:sz w:val="24"/>
        </w:rPr>
        <w:t>201-206室</w:t>
      </w:r>
    </w:p>
    <w:p w14:paraId="51C7E2D2">
      <w:pPr>
        <w:spacing w:line="360" w:lineRule="auto"/>
        <w:ind w:firstLine="480" w:firstLineChars="200"/>
        <w:rPr>
          <w:rFonts w:ascii="仿宋" w:hAnsi="仿宋" w:eastAsia="仿宋"/>
          <w:sz w:val="24"/>
        </w:rPr>
      </w:pPr>
    </w:p>
    <w:p w14:paraId="7DF7FDD9">
      <w:pPr>
        <w:spacing w:line="360" w:lineRule="auto"/>
        <w:ind w:firstLine="482" w:firstLineChars="200"/>
        <w:rPr>
          <w:rFonts w:ascii="仿宋" w:hAnsi="仿宋" w:eastAsia="仿宋"/>
          <w:sz w:val="24"/>
        </w:rPr>
      </w:pPr>
      <w:r>
        <w:rPr>
          <w:rFonts w:hint="eastAsia" w:ascii="仿宋" w:hAnsi="仿宋" w:eastAsia="仿宋"/>
          <w:b/>
          <w:bCs/>
          <w:sz w:val="24"/>
        </w:rPr>
        <w:t>乙方（受托方）：</w:t>
      </w:r>
    </w:p>
    <w:p w14:paraId="6A92DC78">
      <w:pPr>
        <w:spacing w:line="360" w:lineRule="auto"/>
        <w:ind w:firstLine="480" w:firstLineChars="200"/>
        <w:rPr>
          <w:rFonts w:hint="eastAsia" w:ascii="仿宋" w:hAnsi="仿宋" w:eastAsia="仿宋"/>
          <w:sz w:val="24"/>
        </w:rPr>
      </w:pPr>
      <w:r>
        <w:rPr>
          <w:rFonts w:hint="eastAsia" w:ascii="仿宋" w:hAnsi="仿宋" w:eastAsia="仿宋"/>
          <w:sz w:val="24"/>
        </w:rPr>
        <w:t>地址：</w:t>
      </w:r>
    </w:p>
    <w:p w14:paraId="7689DA2C">
      <w:pPr>
        <w:spacing w:line="360" w:lineRule="auto"/>
        <w:ind w:firstLine="480" w:firstLineChars="200"/>
        <w:rPr>
          <w:rFonts w:hint="eastAsia" w:ascii="仿宋" w:hAnsi="仿宋" w:eastAsia="仿宋"/>
          <w:sz w:val="24"/>
          <w:lang w:eastAsia="zh-CN"/>
        </w:rPr>
      </w:pPr>
      <w:r>
        <w:rPr>
          <w:rFonts w:hint="eastAsia" w:ascii="仿宋" w:hAnsi="仿宋" w:eastAsia="仿宋"/>
          <w:sz w:val="24"/>
        </w:rPr>
        <w:t>邮政编码</w:t>
      </w:r>
      <w:r>
        <w:rPr>
          <w:rFonts w:hint="eastAsia" w:ascii="仿宋" w:hAnsi="仿宋" w:eastAsia="仿宋"/>
          <w:sz w:val="24"/>
          <w:lang w:eastAsia="zh-CN"/>
        </w:rPr>
        <w:t xml:space="preserve">：  </w:t>
      </w:r>
      <w:r>
        <w:rPr>
          <w:rFonts w:hint="eastAsia" w:ascii="仿宋" w:hAnsi="仿宋" w:eastAsia="仿宋"/>
          <w:sz w:val="24"/>
          <w:lang w:val="en-US" w:eastAsia="zh-CN"/>
        </w:rPr>
        <w:t xml:space="preserve">  </w:t>
      </w:r>
      <w:r>
        <w:rPr>
          <w:rFonts w:hint="eastAsia" w:ascii="仿宋" w:hAnsi="仿宋" w:eastAsia="仿宋"/>
          <w:sz w:val="24"/>
          <w:lang w:eastAsia="zh-CN"/>
        </w:rPr>
        <w:t>电话：</w:t>
      </w:r>
    </w:p>
    <w:p w14:paraId="5E70041C">
      <w:pPr>
        <w:spacing w:line="360" w:lineRule="auto"/>
        <w:ind w:firstLine="480" w:firstLineChars="200"/>
        <w:rPr>
          <w:rFonts w:hint="eastAsia" w:ascii="仿宋" w:hAnsi="仿宋" w:eastAsia="仿宋"/>
          <w:sz w:val="24"/>
        </w:rPr>
      </w:pPr>
      <w:r>
        <w:rPr>
          <w:rFonts w:hint="eastAsia" w:ascii="仿宋" w:hAnsi="仿宋" w:eastAsia="仿宋"/>
          <w:sz w:val="24"/>
        </w:rPr>
        <w:t>经办律师：</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电话：     </w:t>
      </w:r>
      <w:r>
        <w:rPr>
          <w:rFonts w:hint="eastAsia" w:ascii="仿宋" w:hAnsi="仿宋" w:eastAsia="仿宋"/>
          <w:sz w:val="24"/>
        </w:rPr>
        <w:t>E_mail：</w:t>
      </w:r>
    </w:p>
    <w:p w14:paraId="27417CF1">
      <w:pPr>
        <w:spacing w:line="360" w:lineRule="auto"/>
        <w:ind w:firstLine="480" w:firstLineChars="200"/>
        <w:rPr>
          <w:rFonts w:hint="eastAsia" w:ascii="仿宋" w:hAnsi="仿宋" w:eastAsia="仿宋"/>
          <w:sz w:val="24"/>
        </w:rPr>
      </w:pPr>
    </w:p>
    <w:p w14:paraId="036F0EF0">
      <w:pPr>
        <w:spacing w:line="360" w:lineRule="auto"/>
        <w:ind w:firstLine="480" w:firstLineChars="200"/>
        <w:rPr>
          <w:rFonts w:hint="eastAsia" w:ascii="仿宋" w:hAnsi="仿宋" w:eastAsia="仿宋"/>
          <w:sz w:val="24"/>
        </w:rPr>
      </w:pPr>
    </w:p>
    <w:p w14:paraId="5E38113B">
      <w:pPr>
        <w:spacing w:line="360" w:lineRule="auto"/>
        <w:ind w:firstLine="480" w:firstLineChars="200"/>
        <w:rPr>
          <w:rFonts w:ascii="仿宋" w:hAnsi="仿宋" w:eastAsia="仿宋"/>
          <w:sz w:val="24"/>
        </w:rPr>
      </w:pPr>
      <w:r>
        <w:rPr>
          <w:rFonts w:hint="eastAsia" w:ascii="仿宋" w:hAnsi="仿宋" w:eastAsia="仿宋"/>
          <w:sz w:val="24"/>
        </w:rPr>
        <w:t>甲方因</w:t>
      </w:r>
      <w:r>
        <w:rPr>
          <w:rFonts w:hint="eastAsia" w:ascii="仿宋" w:hAnsi="仿宋" w:eastAsia="仿宋"/>
          <w:sz w:val="24"/>
          <w:u w:val="single"/>
        </w:rPr>
        <w:t xml:space="preserve"> </w:t>
      </w:r>
      <w:r>
        <w:rPr>
          <w:rFonts w:hint="eastAsia" w:ascii="仿宋" w:hAnsi="仿宋" w:eastAsia="仿宋"/>
          <w:sz w:val="24"/>
          <w:u w:val="single"/>
          <w:lang w:eastAsia="zh-CN"/>
        </w:rPr>
        <w:t>花城汇北中南三区及海心沙11宗</w:t>
      </w:r>
      <w:r>
        <w:rPr>
          <w:rFonts w:hint="eastAsia" w:ascii="仿宋" w:hAnsi="仿宋" w:eastAsia="仿宋"/>
          <w:sz w:val="24"/>
        </w:rPr>
        <w:t>租赁合同纠纷，根据《民法典》、《民事诉讼法》、《仲裁法》和《律师法》等有关法律法规的规定，聘请乙方的律师作为委托代理人。</w:t>
      </w:r>
    </w:p>
    <w:p w14:paraId="7BC049FE">
      <w:pPr>
        <w:spacing w:line="360" w:lineRule="auto"/>
        <w:ind w:firstLine="480" w:firstLineChars="200"/>
        <w:rPr>
          <w:rFonts w:ascii="仿宋" w:hAnsi="仿宋" w:eastAsia="仿宋"/>
          <w:sz w:val="24"/>
        </w:rPr>
      </w:pPr>
      <w:r>
        <w:rPr>
          <w:rFonts w:hint="eastAsia" w:ascii="仿宋" w:hAnsi="仿宋" w:eastAsia="仿宋"/>
          <w:sz w:val="24"/>
        </w:rPr>
        <w:t>甲、乙双方按照诚实信用原则，经协商一致，订立此合同，共同遵守。</w:t>
      </w:r>
    </w:p>
    <w:p w14:paraId="03DA286B">
      <w:pPr>
        <w:spacing w:line="360" w:lineRule="auto"/>
        <w:ind w:firstLine="482" w:firstLineChars="200"/>
        <w:rPr>
          <w:rFonts w:ascii="仿宋" w:hAnsi="仿宋" w:eastAsia="仿宋"/>
          <w:b/>
          <w:bCs/>
          <w:sz w:val="24"/>
        </w:rPr>
      </w:pPr>
      <w:r>
        <w:rPr>
          <w:rFonts w:hint="eastAsia" w:ascii="仿宋" w:hAnsi="仿宋" w:eastAsia="仿宋"/>
          <w:b/>
          <w:bCs/>
          <w:sz w:val="24"/>
        </w:rPr>
        <w:t>第一条  委托代理事项</w:t>
      </w:r>
    </w:p>
    <w:p w14:paraId="7DB44208">
      <w:pPr>
        <w:spacing w:line="360" w:lineRule="auto"/>
        <w:ind w:firstLine="480" w:firstLineChars="200"/>
        <w:rPr>
          <w:rFonts w:hint="eastAsia" w:ascii="仿宋" w:hAnsi="仿宋" w:eastAsia="仿宋"/>
          <w:sz w:val="24"/>
        </w:rPr>
      </w:pPr>
      <w:r>
        <w:rPr>
          <w:rFonts w:hint="eastAsia" w:ascii="仿宋" w:hAnsi="仿宋" w:eastAsia="仿宋"/>
          <w:sz w:val="24"/>
        </w:rPr>
        <w:t>乙方接受甲方委托，参与对</w:t>
      </w:r>
      <w:r>
        <w:rPr>
          <w:rFonts w:hint="eastAsia" w:ascii="仿宋" w:hAnsi="仿宋" w:eastAsia="仿宋"/>
          <w:sz w:val="24"/>
          <w:u w:val="single"/>
          <w:lang w:eastAsia="zh-CN"/>
        </w:rPr>
        <w:t>花城汇北中南三区及海心沙11宗</w:t>
      </w:r>
      <w:r>
        <w:rPr>
          <w:rFonts w:hint="eastAsia" w:ascii="仿宋" w:hAnsi="仿宋" w:eastAsia="仿宋"/>
          <w:sz w:val="24"/>
          <w:u w:val="single"/>
          <w:lang w:val="en-US" w:eastAsia="zh-CN"/>
        </w:rPr>
        <w:t>租赁合同纠纷</w:t>
      </w:r>
      <w:r>
        <w:rPr>
          <w:rFonts w:hint="eastAsia" w:ascii="仿宋" w:hAnsi="仿宋" w:eastAsia="仿宋"/>
          <w:sz w:val="24"/>
        </w:rPr>
        <w:t>全过程合同及侵权纠纷专项代理事宜，11宗案件的对方当事人分别为：</w:t>
      </w:r>
    </w:p>
    <w:p w14:paraId="50B78F7C">
      <w:pPr>
        <w:spacing w:line="360" w:lineRule="auto"/>
        <w:ind w:firstLine="480" w:firstLineChars="200"/>
        <w:rPr>
          <w:rFonts w:hint="eastAsia" w:ascii="仿宋" w:hAnsi="仿宋" w:eastAsia="仿宋"/>
          <w:sz w:val="24"/>
        </w:rPr>
      </w:pPr>
      <w:r>
        <w:rPr>
          <w:rFonts w:hint="eastAsia" w:ascii="仿宋" w:hAnsi="仿宋" w:eastAsia="仿宋"/>
          <w:sz w:val="24"/>
        </w:rPr>
        <w:t>1．广州禾和禄餐饮服务有限公司、张燕玲</w:t>
      </w:r>
    </w:p>
    <w:p w14:paraId="1202A795">
      <w:pPr>
        <w:spacing w:line="360" w:lineRule="auto"/>
        <w:ind w:firstLine="480" w:firstLineChars="200"/>
        <w:rPr>
          <w:rFonts w:hint="eastAsia" w:ascii="仿宋" w:hAnsi="仿宋" w:eastAsia="仿宋"/>
          <w:sz w:val="24"/>
        </w:rPr>
      </w:pPr>
      <w:r>
        <w:rPr>
          <w:rFonts w:hint="eastAsia" w:ascii="仿宋" w:hAnsi="仿宋" w:eastAsia="仿宋"/>
          <w:sz w:val="24"/>
        </w:rPr>
        <w:t>2．广州朱迪先生企业管理有限公司、王建军</w:t>
      </w:r>
    </w:p>
    <w:p w14:paraId="17900416">
      <w:pPr>
        <w:spacing w:line="360" w:lineRule="auto"/>
        <w:ind w:firstLine="480" w:firstLineChars="200"/>
        <w:rPr>
          <w:rFonts w:hint="eastAsia" w:ascii="仿宋" w:hAnsi="仿宋" w:eastAsia="仿宋"/>
          <w:sz w:val="24"/>
        </w:rPr>
      </w:pPr>
      <w:r>
        <w:rPr>
          <w:rFonts w:hint="eastAsia" w:ascii="仿宋" w:hAnsi="仿宋" w:eastAsia="仿宋"/>
          <w:sz w:val="24"/>
        </w:rPr>
        <w:t>3．广州苗翠餐饮有限公司</w:t>
      </w:r>
    </w:p>
    <w:p w14:paraId="071FE92C">
      <w:pPr>
        <w:spacing w:line="360" w:lineRule="auto"/>
        <w:ind w:firstLine="480" w:firstLineChars="200"/>
        <w:rPr>
          <w:rFonts w:hint="eastAsia" w:ascii="仿宋" w:hAnsi="仿宋" w:eastAsia="仿宋"/>
          <w:sz w:val="24"/>
        </w:rPr>
      </w:pPr>
      <w:r>
        <w:rPr>
          <w:rFonts w:hint="eastAsia" w:ascii="仿宋" w:hAnsi="仿宋" w:eastAsia="仿宋"/>
          <w:sz w:val="24"/>
        </w:rPr>
        <w:t>4．蛙来哒(广州)餐饮管理有限公司</w:t>
      </w:r>
    </w:p>
    <w:p w14:paraId="390600F9">
      <w:pPr>
        <w:spacing w:line="360" w:lineRule="auto"/>
        <w:ind w:firstLine="480" w:firstLineChars="200"/>
        <w:rPr>
          <w:rFonts w:hint="eastAsia" w:ascii="仿宋" w:hAnsi="仿宋" w:eastAsia="仿宋"/>
          <w:sz w:val="24"/>
        </w:rPr>
      </w:pPr>
      <w:r>
        <w:rPr>
          <w:rFonts w:hint="eastAsia" w:ascii="仿宋" w:hAnsi="仿宋" w:eastAsia="仿宋"/>
          <w:sz w:val="24"/>
        </w:rPr>
        <w:t>5．广州城汇餐饮管理有限公司</w:t>
      </w:r>
    </w:p>
    <w:p w14:paraId="084164A4">
      <w:pPr>
        <w:spacing w:line="360" w:lineRule="auto"/>
        <w:ind w:firstLine="480" w:firstLineChars="200"/>
        <w:rPr>
          <w:rFonts w:hint="eastAsia" w:ascii="仿宋" w:hAnsi="仿宋" w:eastAsia="仿宋"/>
          <w:sz w:val="24"/>
        </w:rPr>
      </w:pPr>
      <w:r>
        <w:rPr>
          <w:rFonts w:hint="eastAsia" w:ascii="仿宋" w:hAnsi="仿宋" w:eastAsia="仿宋"/>
          <w:sz w:val="24"/>
        </w:rPr>
        <w:t>6．广州市天河区猎德东篱仙茗茶饮店、深圳茶姬企业管理有限公司</w:t>
      </w:r>
    </w:p>
    <w:p w14:paraId="440D9E3E">
      <w:pPr>
        <w:spacing w:line="360" w:lineRule="auto"/>
        <w:ind w:firstLine="480" w:firstLineChars="200"/>
        <w:rPr>
          <w:rFonts w:hint="eastAsia" w:ascii="仿宋" w:hAnsi="仿宋" w:eastAsia="仿宋"/>
          <w:sz w:val="24"/>
        </w:rPr>
      </w:pPr>
      <w:r>
        <w:rPr>
          <w:rFonts w:hint="eastAsia" w:ascii="仿宋" w:hAnsi="仿宋" w:eastAsia="仿宋"/>
          <w:sz w:val="24"/>
        </w:rPr>
        <w:t>7．广州市至托商贸有限公司</w:t>
      </w:r>
    </w:p>
    <w:p w14:paraId="120A76C5">
      <w:pPr>
        <w:spacing w:line="360" w:lineRule="auto"/>
        <w:ind w:firstLine="480" w:firstLineChars="200"/>
        <w:rPr>
          <w:rFonts w:hint="eastAsia" w:ascii="仿宋" w:hAnsi="仿宋" w:eastAsia="仿宋"/>
          <w:sz w:val="24"/>
        </w:rPr>
      </w:pPr>
      <w:r>
        <w:rPr>
          <w:rFonts w:hint="eastAsia" w:ascii="仿宋" w:hAnsi="仿宋" w:eastAsia="仿宋"/>
          <w:sz w:val="24"/>
        </w:rPr>
        <w:t>8．广州市磁场策划有限公司、阳大蓉</w:t>
      </w:r>
    </w:p>
    <w:p w14:paraId="2717390E">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9.</w:t>
      </w:r>
      <w:r>
        <w:rPr>
          <w:rFonts w:hint="eastAsia" w:ascii="仿宋" w:hAnsi="仿宋" w:eastAsia="仿宋"/>
          <w:sz w:val="24"/>
        </w:rPr>
        <w:t>海心汇控股(广州)有限公司、骆小燕</w:t>
      </w:r>
    </w:p>
    <w:p w14:paraId="46BAB3C2">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10.</w:t>
      </w:r>
      <w:r>
        <w:rPr>
          <w:rFonts w:hint="eastAsia" w:ascii="仿宋" w:hAnsi="仿宋" w:eastAsia="仿宋"/>
          <w:sz w:val="24"/>
        </w:rPr>
        <w:t>宇视无忧(广州)品牌管理有限公司、梁冬</w:t>
      </w:r>
    </w:p>
    <w:p w14:paraId="79209CF1">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11.</w:t>
      </w:r>
      <w:r>
        <w:rPr>
          <w:rFonts w:hint="eastAsia" w:ascii="仿宋" w:hAnsi="仿宋" w:eastAsia="仿宋"/>
          <w:sz w:val="24"/>
        </w:rPr>
        <w:t>广州商盟企业管理有限公司、骆小燕</w:t>
      </w:r>
    </w:p>
    <w:p w14:paraId="737DAC6B">
      <w:pPr>
        <w:spacing w:line="360" w:lineRule="auto"/>
        <w:ind w:firstLine="480" w:firstLineChars="200"/>
        <w:rPr>
          <w:rFonts w:hint="eastAsia" w:ascii="仿宋" w:hAnsi="仿宋" w:eastAsia="仿宋"/>
          <w:sz w:val="24"/>
        </w:rPr>
      </w:pPr>
      <w:r>
        <w:rPr>
          <w:rFonts w:hint="eastAsia" w:ascii="仿宋" w:hAnsi="仿宋" w:eastAsia="仿宋"/>
          <w:sz w:val="24"/>
        </w:rPr>
        <w:t>乙方在前述11宗租赁合同纠纷诉讼代理中应提供以下服务：</w:t>
      </w:r>
    </w:p>
    <w:p w14:paraId="12FF4673">
      <w:pPr>
        <w:spacing w:line="360" w:lineRule="auto"/>
        <w:ind w:firstLine="480" w:firstLineChars="200"/>
        <w:rPr>
          <w:rFonts w:hint="eastAsia" w:ascii="仿宋" w:hAnsi="仿宋" w:eastAsia="仿宋"/>
          <w:sz w:val="24"/>
        </w:rPr>
      </w:pPr>
      <w:r>
        <w:rPr>
          <w:rFonts w:hint="eastAsia" w:ascii="仿宋" w:hAnsi="仿宋" w:eastAsia="仿宋"/>
          <w:sz w:val="24"/>
        </w:rPr>
        <w:t>1.参与磋商、谈判工作，进行法律分析、论证；</w:t>
      </w:r>
    </w:p>
    <w:p w14:paraId="06D3299D">
      <w:pPr>
        <w:spacing w:line="360" w:lineRule="auto"/>
        <w:ind w:firstLine="480" w:firstLineChars="200"/>
        <w:rPr>
          <w:rFonts w:hint="eastAsia" w:ascii="仿宋" w:hAnsi="仿宋" w:eastAsia="仿宋"/>
          <w:sz w:val="24"/>
        </w:rPr>
      </w:pPr>
      <w:r>
        <w:rPr>
          <w:rFonts w:hint="eastAsia" w:ascii="仿宋" w:hAnsi="仿宋" w:eastAsia="仿宋"/>
          <w:sz w:val="24"/>
        </w:rPr>
        <w:t>2.解答法律咨询、提供法律建议；</w:t>
      </w:r>
    </w:p>
    <w:p w14:paraId="7D274174">
      <w:pPr>
        <w:spacing w:line="360" w:lineRule="auto"/>
        <w:ind w:firstLine="480" w:firstLineChars="200"/>
        <w:rPr>
          <w:rFonts w:hint="eastAsia" w:ascii="仿宋" w:hAnsi="仿宋" w:eastAsia="仿宋"/>
          <w:sz w:val="24"/>
        </w:rPr>
      </w:pPr>
      <w:r>
        <w:rPr>
          <w:rFonts w:hint="eastAsia" w:ascii="仿宋" w:hAnsi="仿宋" w:eastAsia="仿宋"/>
          <w:sz w:val="24"/>
        </w:rPr>
        <w:t>3.出具律师意见书、律师函，协助草拟、制订、审查或者修改相关法律文书；</w:t>
      </w:r>
    </w:p>
    <w:p w14:paraId="477C0B2F">
      <w:pPr>
        <w:spacing w:line="360" w:lineRule="auto"/>
        <w:ind w:firstLine="480" w:firstLineChars="200"/>
        <w:rPr>
          <w:rFonts w:hint="eastAsia" w:ascii="仿宋" w:hAnsi="仿宋" w:eastAsia="仿宋"/>
          <w:sz w:val="24"/>
        </w:rPr>
      </w:pPr>
      <w:r>
        <w:rPr>
          <w:rFonts w:hint="eastAsia" w:ascii="仿宋" w:hAnsi="仿宋" w:eastAsia="仿宋"/>
          <w:sz w:val="24"/>
        </w:rPr>
        <w:t>4.对</w:t>
      </w:r>
      <w:r>
        <w:rPr>
          <w:rFonts w:hint="eastAsia" w:ascii="仿宋" w:hAnsi="仿宋" w:eastAsia="仿宋"/>
          <w:sz w:val="24"/>
          <w:u w:val="single"/>
          <w:lang w:eastAsia="zh-CN"/>
        </w:rPr>
        <w:t>花城汇北中南三区及海心沙11宗</w:t>
      </w:r>
      <w:r>
        <w:rPr>
          <w:rFonts w:hint="eastAsia" w:ascii="仿宋" w:hAnsi="仿宋" w:eastAsia="仿宋"/>
          <w:sz w:val="24"/>
          <w:u w:val="single"/>
          <w:lang w:val="en-US" w:eastAsia="zh-CN"/>
        </w:rPr>
        <w:t>租赁合同纠纷</w:t>
      </w:r>
      <w:r>
        <w:rPr>
          <w:rFonts w:hint="eastAsia" w:ascii="仿宋" w:hAnsi="仿宋" w:eastAsia="仿宋"/>
          <w:sz w:val="24"/>
        </w:rPr>
        <w:t>全过程合同纠纷案诉讼代理等相关事宜</w:t>
      </w:r>
      <w:r>
        <w:rPr>
          <w:rFonts w:hint="eastAsia" w:ascii="仿宋" w:hAnsi="仿宋" w:eastAsia="仿宋"/>
          <w:sz w:val="24"/>
          <w:lang w:eastAsia="zh-CN"/>
        </w:rPr>
        <w:t>，</w:t>
      </w:r>
      <w:r>
        <w:rPr>
          <w:rFonts w:hint="eastAsia" w:ascii="仿宋" w:hAnsi="仿宋" w:eastAsia="仿宋"/>
          <w:sz w:val="24"/>
        </w:rPr>
        <w:t>在前述纠纷中的一审、二审(如有)、执行(如有)中担任甲方的委托代理人，代理期限至全部委托事项办结(如涉及执行阶段，则执行阶段至执行法院首次裁定终结执行程序视为办结)；</w:t>
      </w:r>
    </w:p>
    <w:p w14:paraId="7FC3F517">
      <w:pPr>
        <w:spacing w:line="360" w:lineRule="auto"/>
        <w:ind w:firstLine="480" w:firstLineChars="200"/>
        <w:rPr>
          <w:rFonts w:ascii="仿宋" w:hAnsi="仿宋" w:eastAsia="仿宋"/>
          <w:sz w:val="24"/>
        </w:rPr>
      </w:pPr>
      <w:r>
        <w:rPr>
          <w:rFonts w:hint="eastAsia" w:ascii="仿宋" w:hAnsi="仿宋" w:eastAsia="仿宋"/>
          <w:sz w:val="24"/>
        </w:rPr>
        <w:t>5.应甲方要求，参与本专项代理其他有关的事宜。</w:t>
      </w:r>
    </w:p>
    <w:p w14:paraId="3CF5931A">
      <w:pPr>
        <w:spacing w:line="360" w:lineRule="auto"/>
        <w:ind w:firstLine="482" w:firstLineChars="200"/>
        <w:rPr>
          <w:rFonts w:ascii="仿宋" w:hAnsi="仿宋" w:eastAsia="仿宋"/>
          <w:b/>
          <w:bCs/>
          <w:color w:val="FF0000"/>
          <w:sz w:val="24"/>
        </w:rPr>
      </w:pPr>
      <w:r>
        <w:rPr>
          <w:rFonts w:hint="eastAsia" w:ascii="仿宋" w:hAnsi="仿宋" w:eastAsia="仿宋"/>
          <w:b/>
          <w:bCs/>
          <w:sz w:val="24"/>
        </w:rPr>
        <w:t xml:space="preserve">第二条  </w:t>
      </w:r>
      <w:r>
        <w:rPr>
          <w:rFonts w:ascii="仿宋" w:hAnsi="仿宋" w:eastAsia="仿宋"/>
          <w:b/>
          <w:bCs/>
          <w:sz w:val="24"/>
        </w:rPr>
        <w:t>委托代理权限（详见授权委托书）</w:t>
      </w:r>
    </w:p>
    <w:p w14:paraId="1D0E33CC">
      <w:pPr>
        <w:spacing w:line="360" w:lineRule="auto"/>
        <w:ind w:firstLine="482" w:firstLineChars="200"/>
        <w:rPr>
          <w:rFonts w:ascii="仿宋" w:hAnsi="仿宋" w:eastAsia="仿宋"/>
          <w:b/>
          <w:bCs/>
          <w:sz w:val="24"/>
        </w:rPr>
      </w:pPr>
      <w:r>
        <w:rPr>
          <w:rFonts w:hint="eastAsia" w:ascii="仿宋" w:hAnsi="仿宋" w:eastAsia="仿宋"/>
          <w:b/>
          <w:bCs/>
          <w:sz w:val="24"/>
        </w:rPr>
        <w:t>第三条  乙方的义务</w:t>
      </w:r>
    </w:p>
    <w:p w14:paraId="564243CC">
      <w:pPr>
        <w:spacing w:line="360" w:lineRule="auto"/>
        <w:ind w:firstLine="480" w:firstLineChars="200"/>
        <w:rPr>
          <w:rFonts w:ascii="仿宋" w:hAnsi="仿宋" w:eastAsia="仿宋"/>
          <w:sz w:val="24"/>
        </w:rPr>
      </w:pPr>
      <w:r>
        <w:rPr>
          <w:rFonts w:hint="eastAsia" w:ascii="仿宋" w:hAnsi="仿宋" w:eastAsia="仿宋"/>
          <w:sz w:val="24"/>
        </w:rPr>
        <w:t>（一）乙方委派</w:t>
      </w:r>
      <w:r>
        <w:rPr>
          <w:rFonts w:hint="eastAsia" w:ascii="仿宋" w:hAnsi="仿宋" w:eastAsia="仿宋"/>
          <w:sz w:val="24"/>
          <w:u w:val="single"/>
          <w:lang w:val="en-US" w:eastAsia="zh-CN"/>
        </w:rPr>
        <w:t xml:space="preserve">     </w:t>
      </w:r>
      <w:r>
        <w:rPr>
          <w:rFonts w:hint="eastAsia" w:ascii="仿宋" w:hAnsi="仿宋" w:eastAsia="仿宋"/>
          <w:sz w:val="24"/>
        </w:rPr>
        <w:t>律师作为上述案件中甲方的委托代理人，甲方同意上述律师指派其他律师助理配合完成辅助工作，但乙方更换代理律师应取得甲方书面认可；</w:t>
      </w:r>
    </w:p>
    <w:p w14:paraId="37607B89">
      <w:pPr>
        <w:spacing w:line="360" w:lineRule="auto"/>
        <w:ind w:firstLine="480" w:firstLineChars="200"/>
        <w:rPr>
          <w:rFonts w:ascii="仿宋" w:hAnsi="仿宋" w:eastAsia="仿宋"/>
          <w:sz w:val="24"/>
        </w:rPr>
      </w:pPr>
      <w:r>
        <w:rPr>
          <w:rFonts w:hint="eastAsia" w:ascii="仿宋" w:hAnsi="仿宋" w:eastAsia="仿宋"/>
          <w:sz w:val="24"/>
        </w:rPr>
        <w:t>（二）乙方律师应当充分运用自己的专业知识和技能，尽职尽责地根据法律、法规的规定完成本合同约定的受托事项，最大限度地维护委托人的合法权益；</w:t>
      </w:r>
    </w:p>
    <w:p w14:paraId="2C336724">
      <w:pPr>
        <w:spacing w:line="360" w:lineRule="auto"/>
        <w:ind w:firstLine="480" w:firstLineChars="200"/>
        <w:rPr>
          <w:rFonts w:ascii="仿宋" w:hAnsi="仿宋" w:eastAsia="仿宋"/>
          <w:sz w:val="24"/>
        </w:rPr>
      </w:pPr>
      <w:r>
        <w:rPr>
          <w:rFonts w:hint="eastAsia" w:ascii="仿宋" w:hAnsi="仿宋" w:eastAsia="仿宋"/>
          <w:sz w:val="24"/>
        </w:rPr>
        <w:t>（三）乙方律师应当遵循诚实守信的原则，依据法律、法规的规定做出专业判断，客观地告知甲方所委托事项可能出现的法律风险；</w:t>
      </w:r>
    </w:p>
    <w:p w14:paraId="54F438C3">
      <w:pPr>
        <w:spacing w:line="360" w:lineRule="auto"/>
        <w:ind w:firstLine="480" w:firstLineChars="200"/>
        <w:rPr>
          <w:rFonts w:ascii="仿宋" w:hAnsi="仿宋" w:eastAsia="仿宋"/>
          <w:sz w:val="24"/>
        </w:rPr>
      </w:pPr>
      <w:r>
        <w:rPr>
          <w:rFonts w:hint="eastAsia" w:ascii="仿宋" w:hAnsi="仿宋" w:eastAsia="仿宋"/>
          <w:sz w:val="24"/>
        </w:rPr>
        <w:t>（四）乙方律师应当根据法律规定的时限、时效以及审理机关的要求，及时提交</w:t>
      </w:r>
      <w:r>
        <w:rPr>
          <w:rFonts w:hint="eastAsia" w:ascii="仿宋" w:hAnsi="仿宋" w:eastAsia="仿宋"/>
          <w:sz w:val="24"/>
          <w:lang w:val="en-US" w:eastAsia="zh-CN"/>
        </w:rPr>
        <w:t>证据，</w:t>
      </w:r>
      <w:r>
        <w:rPr>
          <w:rFonts w:hint="eastAsia" w:ascii="仿宋" w:hAnsi="仿宋" w:eastAsia="仿宋"/>
          <w:sz w:val="24"/>
        </w:rPr>
        <w:t>按时出庭，及时办理受委托的事务；</w:t>
      </w:r>
    </w:p>
    <w:p w14:paraId="5023E5AD">
      <w:pPr>
        <w:spacing w:line="360" w:lineRule="auto"/>
        <w:ind w:firstLine="480" w:firstLineChars="200"/>
        <w:rPr>
          <w:rFonts w:ascii="仿宋" w:hAnsi="仿宋" w:eastAsia="仿宋"/>
          <w:sz w:val="24"/>
        </w:rPr>
      </w:pPr>
      <w:r>
        <w:rPr>
          <w:rFonts w:hint="eastAsia" w:ascii="仿宋" w:hAnsi="仿宋" w:eastAsia="仿宋"/>
          <w:sz w:val="24"/>
        </w:rPr>
        <w:t>（五）乙方律师应当及时告知委托人有关代理工作的情况，对委托人了解委托事项情况的正当要求，应当尽快给予答复；</w:t>
      </w:r>
    </w:p>
    <w:p w14:paraId="5924A069">
      <w:pPr>
        <w:spacing w:line="360" w:lineRule="auto"/>
        <w:ind w:firstLine="480" w:firstLineChars="200"/>
        <w:rPr>
          <w:rFonts w:ascii="仿宋" w:hAnsi="仿宋" w:eastAsia="仿宋"/>
          <w:sz w:val="24"/>
        </w:rPr>
      </w:pPr>
      <w:r>
        <w:rPr>
          <w:rFonts w:hint="eastAsia" w:ascii="仿宋" w:hAnsi="仿宋" w:eastAsia="仿宋"/>
          <w:sz w:val="24"/>
        </w:rPr>
        <w:t>（六）乙方在代理甲方案件期间，在涉及甲方的对抗性案件中，未经甲方事先书面同意，不得委派律师同时担任与甲方具有利益冲突的另一方的委托代理人；</w:t>
      </w:r>
    </w:p>
    <w:p w14:paraId="6DC18A65">
      <w:pPr>
        <w:spacing w:line="360" w:lineRule="auto"/>
        <w:ind w:firstLine="480" w:firstLineChars="200"/>
        <w:rPr>
          <w:rFonts w:ascii="仿宋" w:hAnsi="仿宋" w:eastAsia="仿宋"/>
          <w:sz w:val="24"/>
        </w:rPr>
      </w:pPr>
      <w:r>
        <w:rPr>
          <w:rFonts w:hint="eastAsia" w:ascii="仿宋" w:hAnsi="仿宋" w:eastAsia="仿宋"/>
          <w:sz w:val="24"/>
        </w:rPr>
        <w:t>（七）乙方律师对其获知的甲方的商业秘密/或者甲方的个人隐私负有保密责任，非由法律规定或者甲方同意，不得向任何第三方披露；</w:t>
      </w:r>
    </w:p>
    <w:p w14:paraId="10E85152">
      <w:pPr>
        <w:spacing w:line="360" w:lineRule="auto"/>
        <w:ind w:firstLine="480" w:firstLineChars="200"/>
        <w:rPr>
          <w:rFonts w:ascii="仿宋" w:hAnsi="仿宋" w:eastAsia="仿宋"/>
          <w:sz w:val="24"/>
        </w:rPr>
      </w:pPr>
      <w:r>
        <w:rPr>
          <w:rFonts w:hint="eastAsia" w:ascii="仿宋" w:hAnsi="仿宋" w:eastAsia="仿宋"/>
          <w:sz w:val="24"/>
        </w:rPr>
        <w:t>（八）乙方对甲方业务应当单独建档，对涉及甲方的原始证据、法律文件和财物应当妥善保管，设立交接记录。档案保存时间根据律师业务档案管理规定执行。</w:t>
      </w:r>
    </w:p>
    <w:p w14:paraId="5DBD38B3">
      <w:pPr>
        <w:spacing w:line="360" w:lineRule="auto"/>
        <w:ind w:firstLine="482" w:firstLineChars="200"/>
        <w:rPr>
          <w:rFonts w:ascii="仿宋" w:hAnsi="仿宋" w:eastAsia="仿宋"/>
          <w:b/>
          <w:bCs/>
          <w:sz w:val="24"/>
        </w:rPr>
      </w:pPr>
      <w:r>
        <w:rPr>
          <w:rFonts w:hint="eastAsia" w:ascii="仿宋" w:hAnsi="仿宋" w:eastAsia="仿宋"/>
          <w:b/>
          <w:bCs/>
          <w:sz w:val="24"/>
        </w:rPr>
        <w:t>第四条  甲方的义务</w:t>
      </w:r>
    </w:p>
    <w:p w14:paraId="6812126B">
      <w:pPr>
        <w:spacing w:line="360" w:lineRule="auto"/>
        <w:ind w:firstLine="480" w:firstLineChars="200"/>
        <w:rPr>
          <w:rFonts w:ascii="仿宋" w:hAnsi="仿宋" w:eastAsia="仿宋"/>
          <w:sz w:val="24"/>
        </w:rPr>
      </w:pPr>
      <w:r>
        <w:rPr>
          <w:rFonts w:hint="eastAsia" w:ascii="仿宋" w:hAnsi="仿宋" w:eastAsia="仿宋"/>
          <w:sz w:val="24"/>
        </w:rPr>
        <w:t>（一）甲方应当明晰《诉讼</w:t>
      </w:r>
      <w:r>
        <w:rPr>
          <w:rFonts w:hint="eastAsia" w:ascii="仿宋" w:hAnsi="仿宋" w:eastAsia="仿宋"/>
          <w:bCs/>
          <w:sz w:val="24"/>
        </w:rPr>
        <w:t>风险告知书》的详细内容，</w:t>
      </w:r>
      <w:r>
        <w:rPr>
          <w:rFonts w:hint="eastAsia" w:ascii="仿宋" w:hAnsi="仿宋" w:eastAsia="仿宋"/>
          <w:sz w:val="24"/>
        </w:rPr>
        <w:t>真实、详尽和及时地向乙方律师叙述案情，提供与委托代理事项有关的全部证据、文件及其它事实材料，并对证据材料的真实性、合法性负责；</w:t>
      </w:r>
    </w:p>
    <w:p w14:paraId="43EB4A05">
      <w:pPr>
        <w:spacing w:line="360" w:lineRule="auto"/>
        <w:ind w:firstLine="480" w:firstLineChars="200"/>
        <w:rPr>
          <w:rFonts w:ascii="仿宋" w:hAnsi="仿宋" w:eastAsia="仿宋"/>
          <w:sz w:val="24"/>
        </w:rPr>
      </w:pPr>
      <w:r>
        <w:rPr>
          <w:rFonts w:hint="eastAsia" w:ascii="仿宋" w:hAnsi="仿宋" w:eastAsia="仿宋"/>
          <w:sz w:val="24"/>
        </w:rPr>
        <w:t>（二）甲方应当积极、主动地配合乙方律师的工作，甲方对乙方律师提出的要求应当明确、合理、合法；</w:t>
      </w:r>
    </w:p>
    <w:p w14:paraId="6B20BFB9">
      <w:pPr>
        <w:spacing w:line="360" w:lineRule="auto"/>
        <w:ind w:firstLine="480" w:firstLineChars="200"/>
        <w:rPr>
          <w:rFonts w:ascii="仿宋" w:hAnsi="仿宋" w:eastAsia="仿宋"/>
          <w:sz w:val="24"/>
        </w:rPr>
      </w:pPr>
      <w:r>
        <w:rPr>
          <w:rFonts w:hint="eastAsia" w:ascii="仿宋" w:hAnsi="仿宋" w:eastAsia="仿宋"/>
          <w:sz w:val="24"/>
        </w:rPr>
        <w:t>（三）甲方应当按本合同规定的时间和金额向乙方支付律师代理费和工作费用；</w:t>
      </w:r>
    </w:p>
    <w:p w14:paraId="6F817681">
      <w:pPr>
        <w:spacing w:line="360" w:lineRule="auto"/>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四</w:t>
      </w:r>
      <w:r>
        <w:rPr>
          <w:rFonts w:hint="eastAsia" w:ascii="仿宋" w:hAnsi="仿宋" w:eastAsia="仿宋"/>
          <w:sz w:val="24"/>
        </w:rPr>
        <w:t>）乙方尊重甲方对委托代理事项做出的独立的判断和决策。但甲方非根据乙方律师提供的法律意见、建议、方案所做出的决定而导致的损失，由甲方自行承担。</w:t>
      </w:r>
    </w:p>
    <w:p w14:paraId="6310A8A7">
      <w:pPr>
        <w:spacing w:line="360" w:lineRule="auto"/>
        <w:ind w:firstLine="482" w:firstLineChars="200"/>
        <w:rPr>
          <w:rFonts w:ascii="仿宋" w:hAnsi="仿宋" w:eastAsia="仿宋"/>
          <w:b/>
          <w:bCs/>
          <w:sz w:val="24"/>
        </w:rPr>
      </w:pPr>
      <w:r>
        <w:rPr>
          <w:rFonts w:hint="eastAsia" w:ascii="仿宋" w:hAnsi="仿宋" w:eastAsia="仿宋"/>
          <w:b/>
          <w:bCs/>
          <w:sz w:val="24"/>
        </w:rPr>
        <w:t>第五条  律师代理费</w:t>
      </w:r>
    </w:p>
    <w:p w14:paraId="1298BBAA">
      <w:pPr>
        <w:snapToGrid w:val="0"/>
        <w:spacing w:line="500" w:lineRule="exact"/>
        <w:ind w:firstLine="480" w:firstLineChars="200"/>
        <w:rPr>
          <w:rFonts w:ascii="仿宋" w:hAnsi="仿宋" w:eastAsia="仿宋"/>
          <w:sz w:val="24"/>
        </w:rPr>
      </w:pPr>
      <w:r>
        <w:rPr>
          <w:rFonts w:hint="eastAsia" w:ascii="仿宋" w:hAnsi="仿宋" w:eastAsia="仿宋"/>
          <w:sz w:val="24"/>
        </w:rPr>
        <w:t>（一）</w:t>
      </w:r>
      <w:r>
        <w:rPr>
          <w:rFonts w:hint="eastAsia" w:ascii="仿宋" w:hAnsi="仿宋" w:eastAsia="仿宋"/>
          <w:sz w:val="24"/>
          <w:lang w:val="en-US" w:eastAsia="zh-CN"/>
        </w:rPr>
        <w:t>乙方按优惠收取律师费</w:t>
      </w:r>
      <w:r>
        <w:rPr>
          <w:rFonts w:hint="eastAsia" w:ascii="仿宋" w:hAnsi="仿宋" w:eastAsia="仿宋"/>
          <w:sz w:val="24"/>
        </w:rPr>
        <w:t>，律师费为¥</w:t>
      </w:r>
      <w:r>
        <w:rPr>
          <w:rFonts w:hint="eastAsia" w:ascii="仿宋" w:hAnsi="仿宋" w:eastAsia="仿宋"/>
          <w:sz w:val="24"/>
          <w:u w:val="single"/>
          <w:lang w:val="en-US" w:eastAsia="zh-CN"/>
        </w:rPr>
        <w:t xml:space="preserve">  ***  </w:t>
      </w:r>
      <w:r>
        <w:rPr>
          <w:rFonts w:hint="eastAsia" w:ascii="仿宋" w:hAnsi="仿宋" w:eastAsia="仿宋"/>
          <w:sz w:val="24"/>
        </w:rPr>
        <w:t>元</w:t>
      </w:r>
      <w:r>
        <w:rPr>
          <w:rFonts w:hint="eastAsia" w:ascii="仿宋" w:hAnsi="仿宋" w:eastAsia="仿宋"/>
          <w:sz w:val="24"/>
          <w:lang w:eastAsia="zh-CN"/>
        </w:rPr>
        <w:t>（</w:t>
      </w:r>
      <w:r>
        <w:rPr>
          <w:rFonts w:hint="eastAsia" w:ascii="仿宋" w:hAnsi="仿宋" w:eastAsia="仿宋"/>
          <w:sz w:val="24"/>
          <w:lang w:val="en-US" w:eastAsia="zh-CN"/>
        </w:rPr>
        <w:t>大写：</w:t>
      </w:r>
      <w:r>
        <w:rPr>
          <w:rFonts w:hint="eastAsia" w:ascii="仿宋" w:hAnsi="仿宋" w:eastAsia="仿宋"/>
          <w:sz w:val="24"/>
          <w:u w:val="single"/>
          <w:lang w:val="en-US" w:eastAsia="zh-CN"/>
        </w:rPr>
        <w:t xml:space="preserve"> ***</w:t>
      </w:r>
      <w:r>
        <w:rPr>
          <w:rFonts w:hint="eastAsia" w:ascii="仿宋" w:hAnsi="仿宋" w:eastAsia="仿宋"/>
          <w:sz w:val="24"/>
          <w:lang w:eastAsia="zh-CN"/>
        </w:rPr>
        <w:t>），</w:t>
      </w:r>
      <w:r>
        <w:rPr>
          <w:rFonts w:hint="eastAsia" w:ascii="仿宋" w:hAnsi="仿宋" w:eastAsia="仿宋"/>
          <w:sz w:val="24"/>
          <w:lang w:val="en-US" w:eastAsia="zh-CN"/>
        </w:rPr>
        <w:t>税率** %，税额 ¥</w:t>
      </w:r>
      <w:r>
        <w:rPr>
          <w:rFonts w:hint="eastAsia" w:ascii="仿宋" w:hAnsi="仿宋" w:eastAsia="仿宋"/>
          <w:sz w:val="24"/>
          <w:u w:val="single"/>
          <w:lang w:val="en-US" w:eastAsia="zh-CN"/>
        </w:rPr>
        <w:t xml:space="preserve">  *** </w:t>
      </w:r>
      <w:r>
        <w:rPr>
          <w:rFonts w:hint="eastAsia" w:ascii="仿宋" w:hAnsi="仿宋" w:eastAsia="仿宋"/>
          <w:sz w:val="24"/>
          <w:lang w:val="en-US" w:eastAsia="zh-CN"/>
        </w:rPr>
        <w:t>元，不含税金额¥</w:t>
      </w:r>
      <w:r>
        <w:rPr>
          <w:rFonts w:hint="eastAsia" w:ascii="仿宋" w:hAnsi="仿宋" w:eastAsia="仿宋"/>
          <w:sz w:val="24"/>
          <w:u w:val="single"/>
          <w:lang w:val="en-US" w:eastAsia="zh-CN"/>
        </w:rPr>
        <w:t xml:space="preserve"> *** </w:t>
      </w:r>
      <w:r>
        <w:rPr>
          <w:rFonts w:hint="eastAsia" w:ascii="仿宋" w:hAnsi="仿宋" w:eastAsia="仿宋"/>
          <w:sz w:val="24"/>
          <w:lang w:val="en-US" w:eastAsia="zh-CN"/>
        </w:rPr>
        <w:t>元</w:t>
      </w:r>
      <w:r>
        <w:rPr>
          <w:rFonts w:hint="eastAsia" w:ascii="仿宋" w:hAnsi="仿宋" w:eastAsia="仿宋"/>
          <w:sz w:val="24"/>
        </w:rPr>
        <w:t>。</w:t>
      </w:r>
    </w:p>
    <w:p w14:paraId="1AC18FD8">
      <w:pPr>
        <w:snapToGrid w:val="0"/>
        <w:spacing w:after="156" w:afterLines="50" w:line="500" w:lineRule="exact"/>
        <w:ind w:firstLine="480" w:firstLineChars="200"/>
        <w:rPr>
          <w:rFonts w:ascii="仿宋" w:hAnsi="仿宋" w:eastAsia="仿宋"/>
          <w:sz w:val="24"/>
        </w:rPr>
      </w:pPr>
      <w:r>
        <w:rPr>
          <w:rFonts w:hint="eastAsia" w:ascii="仿宋" w:hAnsi="仿宋" w:eastAsia="仿宋"/>
          <w:sz w:val="24"/>
          <w:lang w:val="en-US" w:eastAsia="zh-CN"/>
        </w:rPr>
        <w:t>律师费分两期支付，</w:t>
      </w:r>
      <w:r>
        <w:rPr>
          <w:rFonts w:hint="eastAsia" w:ascii="仿宋" w:hAnsi="仿宋" w:eastAsia="仿宋"/>
          <w:sz w:val="24"/>
        </w:rPr>
        <w:t>在</w:t>
      </w:r>
      <w:r>
        <w:rPr>
          <w:rFonts w:hint="eastAsia" w:ascii="仿宋" w:hAnsi="仿宋" w:eastAsia="仿宋"/>
          <w:sz w:val="24"/>
          <w:lang w:val="en-US" w:eastAsia="zh-CN"/>
        </w:rPr>
        <w:t>11宗案件正式提交立案</w:t>
      </w:r>
      <w:r>
        <w:rPr>
          <w:rFonts w:hint="eastAsia" w:ascii="仿宋" w:hAnsi="仿宋" w:eastAsia="仿宋"/>
          <w:sz w:val="24"/>
        </w:rPr>
        <w:t>后</w:t>
      </w:r>
      <w:r>
        <w:rPr>
          <w:rFonts w:hint="eastAsia" w:ascii="仿宋" w:hAnsi="仿宋" w:eastAsia="仿宋"/>
          <w:sz w:val="24"/>
          <w:lang w:val="en-US" w:eastAsia="zh-CN"/>
        </w:rPr>
        <w:t>三</w:t>
      </w:r>
      <w:r>
        <w:rPr>
          <w:rFonts w:hint="eastAsia" w:ascii="仿宋" w:hAnsi="仿宋" w:eastAsia="仿宋"/>
          <w:sz w:val="24"/>
        </w:rPr>
        <w:t>十个工作日内支付</w:t>
      </w:r>
      <w:r>
        <w:rPr>
          <w:rFonts w:hint="eastAsia" w:ascii="仿宋" w:hAnsi="仿宋" w:eastAsia="仿宋"/>
          <w:sz w:val="24"/>
          <w:lang w:val="en-US" w:eastAsia="zh-CN"/>
        </w:rPr>
        <w:t>30%律师费</w:t>
      </w:r>
      <w:r>
        <w:rPr>
          <w:rFonts w:hint="eastAsia" w:ascii="仿宋" w:hAnsi="仿宋" w:eastAsia="仿宋"/>
          <w:sz w:val="24"/>
        </w:rPr>
        <w:t>¥</w:t>
      </w:r>
      <w:r>
        <w:rPr>
          <w:rFonts w:hint="eastAsia" w:ascii="仿宋" w:hAnsi="仿宋" w:eastAsia="仿宋"/>
          <w:sz w:val="24"/>
          <w:u w:val="single"/>
          <w:lang w:val="en-US" w:eastAsia="zh-CN"/>
        </w:rPr>
        <w:t xml:space="preserve">  ***  </w:t>
      </w:r>
      <w:r>
        <w:rPr>
          <w:rFonts w:hint="eastAsia" w:ascii="仿宋" w:hAnsi="仿宋" w:eastAsia="仿宋"/>
          <w:sz w:val="24"/>
        </w:rPr>
        <w:t>元</w:t>
      </w:r>
      <w:r>
        <w:rPr>
          <w:rFonts w:hint="eastAsia" w:ascii="仿宋" w:hAnsi="仿宋" w:eastAsia="仿宋"/>
          <w:sz w:val="24"/>
          <w:lang w:eastAsia="zh-CN"/>
        </w:rPr>
        <w:t>，</w:t>
      </w:r>
      <w:r>
        <w:rPr>
          <w:rFonts w:hint="eastAsia" w:ascii="仿宋" w:hAnsi="仿宋" w:eastAsia="仿宋"/>
          <w:sz w:val="24"/>
          <w:lang w:val="en-US" w:eastAsia="zh-CN"/>
        </w:rPr>
        <w:t>在2026年12月31日前支付70%律师费</w:t>
      </w:r>
      <w:r>
        <w:rPr>
          <w:rFonts w:hint="eastAsia" w:ascii="仿宋" w:hAnsi="仿宋" w:eastAsia="仿宋"/>
          <w:sz w:val="24"/>
        </w:rPr>
        <w:t>¥</w:t>
      </w:r>
      <w:r>
        <w:rPr>
          <w:rFonts w:hint="eastAsia" w:ascii="仿宋" w:hAnsi="仿宋" w:eastAsia="仿宋"/>
          <w:sz w:val="24"/>
          <w:u w:val="single"/>
          <w:lang w:val="en-US" w:eastAsia="zh-CN"/>
        </w:rPr>
        <w:t xml:space="preserve">  ***  </w:t>
      </w:r>
      <w:r>
        <w:rPr>
          <w:rFonts w:hint="eastAsia" w:ascii="仿宋" w:hAnsi="仿宋" w:eastAsia="仿宋"/>
          <w:sz w:val="24"/>
        </w:rPr>
        <w:t>元</w:t>
      </w:r>
      <w:r>
        <w:rPr>
          <w:rFonts w:hint="eastAsia" w:ascii="仿宋" w:hAnsi="仿宋" w:eastAsia="仿宋"/>
          <w:sz w:val="24"/>
          <w:lang w:eastAsia="zh-CN"/>
        </w:rPr>
        <w:t>，</w:t>
      </w:r>
      <w:r>
        <w:rPr>
          <w:rFonts w:hint="eastAsia" w:ascii="仿宋" w:hAnsi="仿宋" w:eastAsia="仿宋"/>
          <w:sz w:val="24"/>
          <w:lang w:val="en-US" w:eastAsia="zh-CN"/>
        </w:rPr>
        <w:t>乙方需向甲方开具有效增值税专用发票</w:t>
      </w:r>
      <w:r>
        <w:rPr>
          <w:rFonts w:hint="eastAsia" w:ascii="仿宋" w:hAnsi="仿宋" w:eastAsia="仿宋"/>
          <w:sz w:val="24"/>
        </w:rPr>
        <w:t>。</w:t>
      </w:r>
    </w:p>
    <w:p w14:paraId="29E99395">
      <w:pPr>
        <w:spacing w:after="312" w:afterLines="100"/>
        <w:ind w:firstLine="480" w:firstLineChars="200"/>
        <w:rPr>
          <w:rFonts w:ascii="仿宋" w:hAnsi="仿宋" w:eastAsia="仿宋"/>
          <w:sz w:val="24"/>
        </w:rPr>
      </w:pPr>
      <w:r>
        <w:rPr>
          <w:rFonts w:hint="eastAsia" w:ascii="仿宋" w:hAnsi="仿宋" w:eastAsia="仿宋"/>
          <w:sz w:val="24"/>
        </w:rPr>
        <w:t>（二）律师代理费的支付方式为现金、支票或银行转帐，采用现金或支票支付方式</w:t>
      </w:r>
      <w:r>
        <w:rPr>
          <w:rFonts w:hint="eastAsia" w:ascii="仿宋" w:hAnsi="仿宋" w:eastAsia="仿宋"/>
          <w:sz w:val="24"/>
          <w:lang w:val="en-US" w:eastAsia="zh-CN"/>
        </w:rPr>
        <w:t>的，</w:t>
      </w:r>
      <w:r>
        <w:rPr>
          <w:rFonts w:hint="eastAsia" w:ascii="仿宋" w:hAnsi="仿宋" w:eastAsia="仿宋"/>
          <w:sz w:val="24"/>
        </w:rPr>
        <w:t>以乙方的财务部收讫为准。采用转帐支付方式的，以下账号为乙方收款账号：</w:t>
      </w:r>
    </w:p>
    <w:p w14:paraId="4D4D51AE">
      <w:pPr>
        <w:spacing w:line="360" w:lineRule="auto"/>
        <w:ind w:firstLine="480" w:firstLineChars="200"/>
        <w:rPr>
          <w:rFonts w:hint="eastAsia" w:ascii="仿宋" w:hAnsi="仿宋" w:eastAsia="仿宋"/>
          <w:sz w:val="24"/>
        </w:rPr>
      </w:pPr>
      <w:r>
        <w:rPr>
          <w:rFonts w:hint="eastAsia" w:ascii="仿宋" w:hAnsi="仿宋" w:eastAsia="仿宋"/>
          <w:sz w:val="24"/>
        </w:rPr>
        <w:t>乙方户名：</w:t>
      </w:r>
    </w:p>
    <w:p w14:paraId="2470A77E">
      <w:pPr>
        <w:spacing w:line="360" w:lineRule="auto"/>
        <w:ind w:firstLine="480" w:firstLineChars="200"/>
        <w:rPr>
          <w:rFonts w:hint="eastAsia" w:ascii="仿宋" w:hAnsi="仿宋" w:eastAsia="仿宋"/>
          <w:sz w:val="24"/>
        </w:rPr>
      </w:pPr>
      <w:r>
        <w:rPr>
          <w:rFonts w:hint="eastAsia" w:ascii="仿宋" w:hAnsi="仿宋" w:eastAsia="仿宋"/>
          <w:sz w:val="24"/>
        </w:rPr>
        <w:t>开户行：</w:t>
      </w:r>
    </w:p>
    <w:p w14:paraId="3488711B">
      <w:pPr>
        <w:spacing w:line="360" w:lineRule="auto"/>
        <w:ind w:firstLine="480" w:firstLineChars="200"/>
        <w:rPr>
          <w:rFonts w:hint="eastAsia" w:ascii="仿宋" w:hAnsi="仿宋" w:eastAsia="仿宋"/>
          <w:sz w:val="24"/>
        </w:rPr>
      </w:pPr>
      <w:r>
        <w:rPr>
          <w:rFonts w:hint="eastAsia" w:ascii="仿宋" w:hAnsi="仿宋" w:eastAsia="仿宋"/>
          <w:sz w:val="24"/>
        </w:rPr>
        <w:t>账  号：</w:t>
      </w:r>
    </w:p>
    <w:p w14:paraId="387F3BFB">
      <w:pPr>
        <w:spacing w:line="360" w:lineRule="auto"/>
        <w:ind w:firstLine="480" w:firstLineChars="200"/>
        <w:rPr>
          <w:rFonts w:ascii="仿宋" w:hAnsi="仿宋" w:eastAsia="仿宋"/>
          <w:sz w:val="24"/>
        </w:rPr>
      </w:pPr>
      <w:r>
        <w:rPr>
          <w:rFonts w:hint="eastAsia" w:ascii="仿宋" w:hAnsi="仿宋" w:eastAsia="仿宋"/>
          <w:sz w:val="24"/>
        </w:rPr>
        <w:t>全部律师费以到达上述约定的</w:t>
      </w:r>
      <w:r>
        <w:rPr>
          <w:rFonts w:hint="eastAsia" w:ascii="仿宋" w:hAnsi="仿宋" w:eastAsia="仿宋"/>
          <w:sz w:val="24"/>
          <w:lang w:val="en-US" w:eastAsia="zh-CN"/>
        </w:rPr>
        <w:t>乙方</w:t>
      </w:r>
      <w:r>
        <w:rPr>
          <w:rFonts w:hint="eastAsia" w:ascii="仿宋" w:hAnsi="仿宋" w:eastAsia="仿宋"/>
          <w:sz w:val="24"/>
        </w:rPr>
        <w:t>的银行账户并由乙方开出发票为收讫。任何非合同约定方式的支付乙方均不予承认，也不构成律师私下收费，而且根据合同应付款项甲方仍应继续支付。</w:t>
      </w:r>
    </w:p>
    <w:p w14:paraId="2881C7D8">
      <w:pPr>
        <w:spacing w:line="360" w:lineRule="auto"/>
        <w:ind w:firstLine="482" w:firstLineChars="200"/>
        <w:rPr>
          <w:rFonts w:ascii="仿宋" w:hAnsi="仿宋" w:eastAsia="仿宋"/>
          <w:b/>
          <w:bCs/>
          <w:sz w:val="24"/>
        </w:rPr>
      </w:pPr>
      <w:r>
        <w:rPr>
          <w:rFonts w:hint="eastAsia" w:ascii="仿宋" w:hAnsi="仿宋" w:eastAsia="仿宋"/>
          <w:b/>
          <w:bCs/>
          <w:sz w:val="24"/>
        </w:rPr>
        <w:t>第六条  工作费用</w:t>
      </w:r>
    </w:p>
    <w:p w14:paraId="15FF351C">
      <w:pPr>
        <w:spacing w:line="360" w:lineRule="auto"/>
        <w:ind w:firstLine="480" w:firstLineChars="200"/>
        <w:rPr>
          <w:rFonts w:ascii="仿宋" w:hAnsi="仿宋" w:eastAsia="仿宋"/>
          <w:sz w:val="24"/>
        </w:rPr>
      </w:pPr>
      <w:r>
        <w:rPr>
          <w:rFonts w:hint="eastAsia" w:ascii="仿宋" w:hAnsi="仿宋" w:eastAsia="仿宋"/>
          <w:sz w:val="24"/>
        </w:rPr>
        <w:t>乙方律师办理甲方委托代理事项所发生的下列工作费用，应当由甲方承担：</w:t>
      </w:r>
    </w:p>
    <w:p w14:paraId="15421567">
      <w:pPr>
        <w:spacing w:line="360" w:lineRule="auto"/>
        <w:ind w:firstLine="480" w:firstLineChars="200"/>
        <w:rPr>
          <w:rFonts w:ascii="仿宋" w:hAnsi="仿宋" w:eastAsia="仿宋"/>
          <w:sz w:val="24"/>
        </w:rPr>
      </w:pPr>
      <w:r>
        <w:rPr>
          <w:rFonts w:hint="eastAsia" w:ascii="仿宋" w:hAnsi="仿宋" w:eastAsia="仿宋"/>
          <w:sz w:val="24"/>
        </w:rPr>
        <w:t>1、相关行政、司法、鉴定、公证及其他专业顾问等部门收取的费用；</w:t>
      </w:r>
    </w:p>
    <w:p w14:paraId="60757E93">
      <w:pPr>
        <w:spacing w:line="360" w:lineRule="auto"/>
        <w:ind w:firstLine="480" w:firstLineChars="200"/>
        <w:rPr>
          <w:rFonts w:hint="eastAsia" w:ascii="仿宋" w:hAnsi="仿宋" w:eastAsia="仿宋"/>
          <w:sz w:val="24"/>
          <w:lang w:eastAsia="zh-CN"/>
        </w:rPr>
      </w:pPr>
      <w:r>
        <w:rPr>
          <w:rFonts w:hint="eastAsia" w:ascii="仿宋" w:hAnsi="仿宋" w:eastAsia="仿宋"/>
          <w:sz w:val="24"/>
        </w:rPr>
        <w:t>2、广州市外（包括远郊区县）发生的差旅费、食宿费及资料费、通讯费、翻译费等</w:t>
      </w:r>
      <w:r>
        <w:rPr>
          <w:rFonts w:hint="eastAsia" w:ascii="仿宋" w:hAnsi="仿宋" w:eastAsia="仿宋"/>
          <w:sz w:val="24"/>
          <w:lang w:eastAsia="zh-CN"/>
        </w:rPr>
        <w:t>；</w:t>
      </w:r>
    </w:p>
    <w:p w14:paraId="6168573E">
      <w:pPr>
        <w:spacing w:line="360" w:lineRule="auto"/>
        <w:ind w:firstLine="480" w:firstLineChars="200"/>
        <w:rPr>
          <w:rFonts w:ascii="仿宋" w:hAnsi="仿宋" w:eastAsia="仿宋"/>
          <w:sz w:val="24"/>
        </w:rPr>
      </w:pPr>
      <w:r>
        <w:rPr>
          <w:rFonts w:hint="eastAsia" w:ascii="仿宋" w:hAnsi="仿宋" w:eastAsia="仿宋"/>
          <w:sz w:val="24"/>
        </w:rPr>
        <w:t>3、征得甲方同意后支付的其它费用。</w:t>
      </w:r>
    </w:p>
    <w:p w14:paraId="0923B95B">
      <w:pPr>
        <w:spacing w:line="360" w:lineRule="auto"/>
        <w:ind w:firstLine="480" w:firstLineChars="200"/>
        <w:rPr>
          <w:rFonts w:ascii="仿宋" w:hAnsi="仿宋" w:eastAsia="仿宋"/>
          <w:sz w:val="24"/>
        </w:rPr>
      </w:pPr>
      <w:r>
        <w:rPr>
          <w:rFonts w:hint="eastAsia" w:ascii="仿宋" w:hAnsi="仿宋" w:eastAsia="仿宋"/>
          <w:sz w:val="24"/>
        </w:rPr>
        <w:t>乙方律师应当本着节俭的原则合理使用工作费用。</w:t>
      </w:r>
    </w:p>
    <w:p w14:paraId="7CCF06ED">
      <w:pPr>
        <w:spacing w:line="360" w:lineRule="auto"/>
        <w:ind w:firstLine="482" w:firstLineChars="200"/>
        <w:rPr>
          <w:rFonts w:ascii="仿宋" w:hAnsi="仿宋" w:eastAsia="仿宋"/>
          <w:b/>
          <w:bCs/>
          <w:sz w:val="24"/>
        </w:rPr>
      </w:pPr>
      <w:r>
        <w:rPr>
          <w:rFonts w:hint="eastAsia" w:ascii="仿宋" w:hAnsi="仿宋" w:eastAsia="仿宋"/>
          <w:b/>
          <w:bCs/>
          <w:sz w:val="24"/>
        </w:rPr>
        <w:t>第七条  合同的变更和解除</w:t>
      </w:r>
    </w:p>
    <w:p w14:paraId="07914D2C">
      <w:pPr>
        <w:spacing w:line="360" w:lineRule="auto"/>
        <w:ind w:firstLine="480" w:firstLineChars="200"/>
        <w:rPr>
          <w:rFonts w:ascii="仿宋" w:hAnsi="仿宋" w:eastAsia="仿宋"/>
          <w:sz w:val="24"/>
        </w:rPr>
      </w:pPr>
      <w:r>
        <w:rPr>
          <w:rFonts w:hint="eastAsia" w:ascii="仿宋" w:hAnsi="仿宋" w:eastAsia="仿宋"/>
          <w:sz w:val="24"/>
        </w:rPr>
        <w:t>（一）甲乙双方经协商同意，可以变更或者解除本合同。</w:t>
      </w:r>
    </w:p>
    <w:p w14:paraId="1B4C243A">
      <w:pPr>
        <w:spacing w:line="360" w:lineRule="auto"/>
        <w:ind w:firstLine="480" w:firstLineChars="200"/>
        <w:rPr>
          <w:rFonts w:hint="eastAsia" w:ascii="仿宋" w:hAnsi="仿宋" w:eastAsia="仿宋"/>
          <w:sz w:val="24"/>
          <w:lang w:eastAsia="zh-CN"/>
        </w:rPr>
      </w:pPr>
      <w:r>
        <w:rPr>
          <w:rFonts w:hint="eastAsia" w:ascii="仿宋" w:hAnsi="仿宋" w:eastAsia="仿宋"/>
          <w:sz w:val="24"/>
        </w:rPr>
        <w:t>（二）因甲方追加委托事项或因增加诉讼当事人等重大诉讼事件导致代理事项明显增多的情况时，乙方可以要求甲方适当增加律师代理费，否则，乙方仅在原委托范围内工作</w:t>
      </w:r>
      <w:r>
        <w:rPr>
          <w:rFonts w:hint="eastAsia" w:ascii="仿宋" w:hAnsi="仿宋" w:eastAsia="仿宋"/>
          <w:sz w:val="24"/>
          <w:lang w:eastAsia="zh-CN"/>
        </w:rPr>
        <w:t>。</w:t>
      </w:r>
    </w:p>
    <w:p w14:paraId="63FC4226">
      <w:pPr>
        <w:spacing w:line="360" w:lineRule="auto"/>
        <w:ind w:firstLine="480" w:firstLineChars="200"/>
        <w:rPr>
          <w:rFonts w:ascii="仿宋" w:hAnsi="仿宋" w:eastAsia="仿宋"/>
          <w:sz w:val="24"/>
        </w:rPr>
      </w:pPr>
      <w:r>
        <w:rPr>
          <w:rFonts w:hint="eastAsia" w:ascii="仿宋" w:hAnsi="仿宋" w:eastAsia="仿宋"/>
          <w:sz w:val="24"/>
        </w:rPr>
        <w:t>（三）甲方明确放弃委托事项，可以要求变更合同，甲乙双方合理确定律师收费。</w:t>
      </w:r>
    </w:p>
    <w:p w14:paraId="7F809021">
      <w:pPr>
        <w:spacing w:line="360" w:lineRule="auto"/>
        <w:ind w:firstLine="480" w:firstLineChars="200"/>
        <w:rPr>
          <w:rFonts w:ascii="仿宋" w:hAnsi="仿宋" w:eastAsia="仿宋"/>
          <w:sz w:val="24"/>
        </w:rPr>
      </w:pPr>
      <w:r>
        <w:rPr>
          <w:rFonts w:hint="eastAsia" w:ascii="仿宋" w:hAnsi="仿宋" w:eastAsia="仿宋"/>
          <w:sz w:val="24"/>
        </w:rPr>
        <w:t>（四）乙方有下列情形之一的，甲方有权解除合同：</w:t>
      </w:r>
    </w:p>
    <w:p w14:paraId="68A3A480">
      <w:pPr>
        <w:spacing w:line="360" w:lineRule="auto"/>
        <w:ind w:firstLine="480" w:firstLineChars="200"/>
        <w:rPr>
          <w:rFonts w:ascii="仿宋" w:hAnsi="仿宋" w:eastAsia="仿宋"/>
          <w:sz w:val="24"/>
        </w:rPr>
      </w:pPr>
      <w:r>
        <w:rPr>
          <w:rFonts w:hint="eastAsia" w:ascii="仿宋" w:hAnsi="仿宋" w:eastAsia="仿宋"/>
          <w:sz w:val="24"/>
        </w:rPr>
        <w:t>1、未经甲方同意，擅自更换代理律师的；</w:t>
      </w:r>
    </w:p>
    <w:p w14:paraId="1499746F">
      <w:pPr>
        <w:spacing w:line="360" w:lineRule="auto"/>
        <w:ind w:firstLine="480" w:firstLineChars="200"/>
        <w:rPr>
          <w:rFonts w:ascii="仿宋" w:hAnsi="仿宋" w:eastAsia="仿宋"/>
          <w:sz w:val="24"/>
        </w:rPr>
      </w:pPr>
      <w:r>
        <w:rPr>
          <w:rFonts w:hint="eastAsia" w:ascii="仿宋" w:hAnsi="仿宋" w:eastAsia="仿宋"/>
          <w:sz w:val="24"/>
        </w:rPr>
        <w:t>2、因乙方律师工作延误、失职导致甲方蒙受损失的；</w:t>
      </w:r>
    </w:p>
    <w:p w14:paraId="7873EC36">
      <w:pPr>
        <w:spacing w:line="360" w:lineRule="auto"/>
        <w:ind w:firstLine="480" w:firstLineChars="200"/>
        <w:rPr>
          <w:rFonts w:ascii="仿宋" w:hAnsi="仿宋" w:eastAsia="仿宋"/>
          <w:sz w:val="24"/>
        </w:rPr>
      </w:pPr>
      <w:r>
        <w:rPr>
          <w:rFonts w:hint="eastAsia" w:ascii="仿宋" w:hAnsi="仿宋" w:eastAsia="仿宋"/>
          <w:sz w:val="24"/>
        </w:rPr>
        <w:t>3、违反第三条第（六）、（七）项规定的义务之一的。</w:t>
      </w:r>
    </w:p>
    <w:p w14:paraId="6255A205">
      <w:pPr>
        <w:spacing w:line="360" w:lineRule="auto"/>
        <w:ind w:firstLine="480" w:firstLineChars="200"/>
        <w:rPr>
          <w:rFonts w:hint="eastAsia" w:ascii="仿宋" w:hAnsi="仿宋" w:eastAsia="仿宋"/>
          <w:sz w:val="24"/>
          <w:lang w:eastAsia="zh-CN"/>
        </w:rPr>
      </w:pPr>
      <w:r>
        <w:rPr>
          <w:rFonts w:hint="eastAsia" w:ascii="仿宋" w:hAnsi="仿宋" w:eastAsia="仿宋"/>
          <w:sz w:val="24"/>
        </w:rPr>
        <w:t>（五）甲方有下列情形之一的，乙方有权解除合同或暂停工作直致甲方自行纠正时止</w:t>
      </w:r>
      <w:r>
        <w:rPr>
          <w:rFonts w:hint="eastAsia" w:ascii="仿宋" w:hAnsi="仿宋" w:eastAsia="仿宋"/>
          <w:sz w:val="24"/>
          <w:lang w:eastAsia="zh-CN"/>
        </w:rPr>
        <w:t>：</w:t>
      </w:r>
    </w:p>
    <w:p w14:paraId="03304F85">
      <w:pPr>
        <w:spacing w:line="360" w:lineRule="auto"/>
        <w:ind w:firstLine="480" w:firstLineChars="200"/>
        <w:rPr>
          <w:rFonts w:ascii="仿宋" w:hAnsi="仿宋" w:eastAsia="仿宋"/>
          <w:sz w:val="24"/>
        </w:rPr>
      </w:pPr>
      <w:r>
        <w:rPr>
          <w:rFonts w:hint="eastAsia" w:ascii="仿宋" w:hAnsi="仿宋" w:eastAsia="仿宋"/>
          <w:sz w:val="24"/>
        </w:rPr>
        <w:t>1、甲方的委托事项违反法律或者违反律师执业规范的；</w:t>
      </w:r>
    </w:p>
    <w:p w14:paraId="59A9DA02">
      <w:pPr>
        <w:spacing w:line="360" w:lineRule="auto"/>
        <w:ind w:firstLine="480" w:firstLineChars="200"/>
        <w:rPr>
          <w:rFonts w:ascii="仿宋" w:hAnsi="仿宋" w:eastAsia="仿宋"/>
          <w:sz w:val="24"/>
        </w:rPr>
      </w:pPr>
      <w:r>
        <w:rPr>
          <w:rFonts w:hint="eastAsia" w:ascii="仿宋" w:hAnsi="仿宋" w:eastAsia="仿宋"/>
          <w:sz w:val="24"/>
        </w:rPr>
        <w:t>2、甲方有捏造事实、伪造证据或者隐瞒重要情节等情形的；</w:t>
      </w:r>
    </w:p>
    <w:p w14:paraId="5FFE20AC">
      <w:pPr>
        <w:spacing w:line="360" w:lineRule="auto"/>
        <w:ind w:firstLine="480" w:firstLineChars="200"/>
        <w:rPr>
          <w:rFonts w:ascii="仿宋" w:hAnsi="仿宋" w:eastAsia="仿宋"/>
          <w:sz w:val="24"/>
        </w:rPr>
      </w:pPr>
      <w:r>
        <w:rPr>
          <w:rFonts w:hint="eastAsia" w:ascii="仿宋" w:hAnsi="仿宋" w:eastAsia="仿宋"/>
          <w:sz w:val="24"/>
        </w:rPr>
        <w:t>3、由于甲方的不当行为致使乙方律师不能提供有效服务的；</w:t>
      </w:r>
    </w:p>
    <w:p w14:paraId="4146E392">
      <w:pPr>
        <w:spacing w:line="360" w:lineRule="auto"/>
        <w:ind w:firstLine="480" w:firstLineChars="200"/>
        <w:rPr>
          <w:rFonts w:ascii="仿宋" w:hAnsi="仿宋" w:eastAsia="仿宋"/>
          <w:sz w:val="24"/>
        </w:rPr>
      </w:pPr>
      <w:r>
        <w:rPr>
          <w:rFonts w:hint="eastAsia" w:ascii="仿宋" w:hAnsi="仿宋" w:eastAsia="仿宋"/>
          <w:sz w:val="24"/>
        </w:rPr>
        <w:t>4、甲方逾期30日仍不向乙方支付律师代理费或者工作费用的。</w:t>
      </w:r>
    </w:p>
    <w:p w14:paraId="45B2FAB6">
      <w:pPr>
        <w:spacing w:line="360" w:lineRule="auto"/>
        <w:ind w:firstLine="482" w:firstLineChars="200"/>
        <w:rPr>
          <w:rFonts w:ascii="仿宋" w:hAnsi="仿宋" w:eastAsia="仿宋"/>
          <w:b/>
          <w:bCs/>
          <w:sz w:val="24"/>
        </w:rPr>
      </w:pPr>
      <w:r>
        <w:rPr>
          <w:rFonts w:hint="eastAsia" w:ascii="仿宋" w:hAnsi="仿宋" w:eastAsia="仿宋"/>
          <w:b/>
          <w:bCs/>
          <w:sz w:val="24"/>
        </w:rPr>
        <w:t>第八条  违约责任</w:t>
      </w:r>
    </w:p>
    <w:p w14:paraId="26EC888B">
      <w:pPr>
        <w:spacing w:line="360" w:lineRule="auto"/>
        <w:ind w:firstLine="480" w:firstLineChars="200"/>
        <w:rPr>
          <w:rFonts w:ascii="仿宋" w:hAnsi="仿宋" w:eastAsia="仿宋"/>
          <w:sz w:val="24"/>
        </w:rPr>
      </w:pPr>
      <w:r>
        <w:rPr>
          <w:rFonts w:hint="eastAsia" w:ascii="仿宋" w:hAnsi="仿宋" w:eastAsia="仿宋"/>
          <w:sz w:val="24"/>
        </w:rPr>
        <w:t>（一）乙方无正当理由不提供第一条、第二条规定的法律服务或者违反第三条规定的义务，甲方有权要求乙方退还部分或者全部已付的律师费。但甲方不得以如下理由要求乙方退费：</w:t>
      </w:r>
    </w:p>
    <w:p w14:paraId="0147B69E">
      <w:pPr>
        <w:spacing w:line="360" w:lineRule="auto"/>
        <w:ind w:firstLine="480" w:firstLineChars="200"/>
        <w:rPr>
          <w:rFonts w:ascii="仿宋" w:hAnsi="仿宋" w:eastAsia="仿宋"/>
          <w:sz w:val="24"/>
        </w:rPr>
      </w:pPr>
      <w:r>
        <w:rPr>
          <w:rFonts w:hint="eastAsia" w:ascii="仿宋" w:hAnsi="仿宋" w:eastAsia="仿宋"/>
          <w:sz w:val="24"/>
        </w:rPr>
        <w:t>1、甲方单方面又委托其他律师事务所的律师代理的；</w:t>
      </w:r>
    </w:p>
    <w:p w14:paraId="0D7457B1">
      <w:pPr>
        <w:spacing w:line="360" w:lineRule="auto"/>
        <w:ind w:firstLine="480" w:firstLineChars="200"/>
        <w:rPr>
          <w:rFonts w:ascii="仿宋" w:hAnsi="仿宋" w:eastAsia="仿宋"/>
          <w:sz w:val="24"/>
        </w:rPr>
      </w:pPr>
      <w:r>
        <w:rPr>
          <w:rFonts w:hint="eastAsia" w:ascii="仿宋" w:hAnsi="仿宋" w:eastAsia="仿宋"/>
          <w:sz w:val="24"/>
        </w:rPr>
        <w:t>2、乙方接受委托后，甲方以乙方收费过高为由要求退费的；</w:t>
      </w:r>
    </w:p>
    <w:p w14:paraId="319A9D83">
      <w:pPr>
        <w:spacing w:line="360" w:lineRule="auto"/>
        <w:ind w:firstLine="480" w:firstLineChars="200"/>
        <w:rPr>
          <w:rFonts w:ascii="仿宋" w:hAnsi="仿宋" w:eastAsia="仿宋"/>
          <w:sz w:val="24"/>
        </w:rPr>
      </w:pPr>
      <w:r>
        <w:rPr>
          <w:rFonts w:hint="eastAsia" w:ascii="仿宋" w:hAnsi="仿宋" w:eastAsia="仿宋"/>
          <w:sz w:val="24"/>
        </w:rPr>
        <w:t>3、甲方作为被告时，乙方律师已经为出庭作好准备，而原告方撤诉的；</w:t>
      </w:r>
    </w:p>
    <w:p w14:paraId="095711E1">
      <w:pPr>
        <w:spacing w:line="360" w:lineRule="auto"/>
        <w:ind w:firstLine="480" w:firstLineChars="200"/>
        <w:rPr>
          <w:rFonts w:ascii="仿宋" w:hAnsi="仿宋" w:eastAsia="仿宋"/>
          <w:sz w:val="24"/>
        </w:rPr>
      </w:pPr>
      <w:r>
        <w:rPr>
          <w:rFonts w:hint="eastAsia" w:ascii="仿宋" w:hAnsi="仿宋" w:eastAsia="仿宋"/>
          <w:sz w:val="24"/>
        </w:rPr>
        <w:t>4、其他非因乙方或者乙方律师的原因，甲方不合理的单方解除合同的。</w:t>
      </w:r>
    </w:p>
    <w:p w14:paraId="6B074E93">
      <w:pPr>
        <w:spacing w:line="360" w:lineRule="auto"/>
        <w:ind w:firstLine="480" w:firstLineChars="200"/>
        <w:rPr>
          <w:rFonts w:ascii="仿宋" w:hAnsi="仿宋" w:eastAsia="仿宋"/>
          <w:sz w:val="24"/>
        </w:rPr>
      </w:pPr>
      <w:r>
        <w:rPr>
          <w:rFonts w:hint="eastAsia" w:ascii="仿宋" w:hAnsi="仿宋" w:eastAsia="仿宋"/>
          <w:sz w:val="24"/>
        </w:rPr>
        <w:t>（二）乙方律师因工作延误、失职或者违反第三条第（六）、（七）项规定的义务之一，导致甲方蒙受重大经济损失，乙方应当通过已投保的律师执业责任保险按保险合同向甲方承担赔偿责任。</w:t>
      </w:r>
    </w:p>
    <w:p w14:paraId="0EB7505B">
      <w:pPr>
        <w:spacing w:line="360" w:lineRule="auto"/>
        <w:ind w:firstLine="482" w:firstLineChars="200"/>
        <w:rPr>
          <w:rFonts w:ascii="仿宋" w:hAnsi="仿宋" w:eastAsia="仿宋"/>
          <w:b/>
          <w:bCs/>
          <w:sz w:val="24"/>
        </w:rPr>
      </w:pPr>
      <w:r>
        <w:rPr>
          <w:rFonts w:hint="eastAsia" w:ascii="仿宋" w:hAnsi="仿宋" w:eastAsia="仿宋"/>
          <w:b/>
          <w:bCs/>
          <w:sz w:val="24"/>
        </w:rPr>
        <w:t>第九条  争议的解决</w:t>
      </w:r>
    </w:p>
    <w:p w14:paraId="2C39E3D2">
      <w:pPr>
        <w:spacing w:line="460" w:lineRule="exact"/>
        <w:ind w:firstLine="480" w:firstLineChars="200"/>
        <w:rPr>
          <w:rFonts w:ascii="仿宋" w:hAnsi="仿宋" w:eastAsia="仿宋"/>
          <w:sz w:val="24"/>
        </w:rPr>
      </w:pPr>
      <w:r>
        <w:rPr>
          <w:rFonts w:hint="eastAsia" w:ascii="仿宋" w:hAnsi="仿宋" w:eastAsia="仿宋"/>
          <w:bCs/>
          <w:sz w:val="24"/>
        </w:rPr>
        <w:t>甲乙双方如果发生争议，应当友好协商解决。如协商不成，任何一方均有权将争议提交</w:t>
      </w:r>
      <w:r>
        <w:rPr>
          <w:rFonts w:hint="eastAsia" w:ascii="仿宋" w:hAnsi="仿宋" w:eastAsia="仿宋"/>
          <w:bCs/>
          <w:sz w:val="24"/>
          <w:lang w:val="en-US" w:eastAsia="zh-CN"/>
        </w:rPr>
        <w:t>甲方属地法院诉讼解决</w:t>
      </w:r>
      <w:r>
        <w:rPr>
          <w:rFonts w:hint="eastAsia" w:ascii="仿宋" w:hAnsi="仿宋" w:eastAsia="仿宋"/>
          <w:bCs/>
          <w:sz w:val="24"/>
        </w:rPr>
        <w:t>。</w:t>
      </w:r>
    </w:p>
    <w:p w14:paraId="4F086913">
      <w:pPr>
        <w:spacing w:line="460" w:lineRule="exact"/>
        <w:ind w:firstLine="482" w:firstLineChars="200"/>
        <w:rPr>
          <w:rFonts w:ascii="仿宋" w:hAnsi="仿宋" w:eastAsia="仿宋"/>
          <w:sz w:val="24"/>
        </w:rPr>
      </w:pPr>
      <w:r>
        <w:rPr>
          <w:rFonts w:hint="eastAsia" w:ascii="仿宋" w:hAnsi="仿宋" w:eastAsia="仿宋"/>
          <w:b/>
          <w:bCs/>
          <w:sz w:val="24"/>
        </w:rPr>
        <w:t>第十条  合同的生效</w:t>
      </w:r>
    </w:p>
    <w:p w14:paraId="3401490B">
      <w:pPr>
        <w:spacing w:line="360" w:lineRule="auto"/>
        <w:ind w:firstLine="480" w:firstLineChars="200"/>
        <w:rPr>
          <w:rFonts w:ascii="仿宋" w:hAnsi="仿宋" w:eastAsia="仿宋"/>
          <w:b/>
          <w:bCs/>
          <w:sz w:val="24"/>
        </w:rPr>
      </w:pPr>
      <w:r>
        <w:rPr>
          <w:rFonts w:hint="eastAsia" w:ascii="仿宋" w:hAnsi="仿宋" w:eastAsia="仿宋"/>
          <w:sz w:val="24"/>
        </w:rPr>
        <w:t>本合同由甲乙双方签字、盖章即生效。</w:t>
      </w:r>
    </w:p>
    <w:p w14:paraId="0A401E0B">
      <w:pPr>
        <w:spacing w:line="360" w:lineRule="auto"/>
        <w:ind w:firstLine="480" w:firstLineChars="200"/>
        <w:rPr>
          <w:rFonts w:ascii="仿宋" w:hAnsi="仿宋" w:eastAsia="仿宋"/>
          <w:sz w:val="24"/>
        </w:rPr>
      </w:pPr>
      <w:r>
        <w:rPr>
          <w:rFonts w:hint="eastAsia" w:ascii="仿宋" w:hAnsi="仿宋" w:eastAsia="仿宋"/>
          <w:sz w:val="24"/>
        </w:rPr>
        <w:t>本合同一式</w:t>
      </w:r>
      <w:r>
        <w:rPr>
          <w:rFonts w:hint="eastAsia" w:ascii="仿宋" w:hAnsi="仿宋" w:eastAsia="仿宋"/>
          <w:sz w:val="24"/>
          <w:lang w:val="en-US" w:eastAsia="zh-CN"/>
        </w:rPr>
        <w:t>六</w:t>
      </w:r>
      <w:r>
        <w:rPr>
          <w:rFonts w:hint="eastAsia" w:ascii="仿宋" w:hAnsi="仿宋" w:eastAsia="仿宋"/>
          <w:sz w:val="24"/>
        </w:rPr>
        <w:t>份，甲方执</w:t>
      </w:r>
      <w:r>
        <w:rPr>
          <w:rFonts w:hint="eastAsia" w:ascii="仿宋" w:hAnsi="仿宋" w:eastAsia="仿宋"/>
          <w:sz w:val="24"/>
          <w:lang w:val="en-US" w:eastAsia="zh-CN"/>
        </w:rPr>
        <w:t>四</w:t>
      </w:r>
      <w:r>
        <w:rPr>
          <w:rFonts w:hint="eastAsia" w:ascii="仿宋" w:hAnsi="仿宋" w:eastAsia="仿宋"/>
          <w:sz w:val="24"/>
        </w:rPr>
        <w:t>份，乙方执二份，具同等效力。</w:t>
      </w:r>
    </w:p>
    <w:p w14:paraId="1EE42D88">
      <w:pPr>
        <w:spacing w:line="360" w:lineRule="auto"/>
        <w:ind w:firstLine="482" w:firstLineChars="200"/>
        <w:rPr>
          <w:rFonts w:ascii="仿宋" w:hAnsi="仿宋" w:eastAsia="仿宋"/>
          <w:b/>
          <w:bCs/>
          <w:sz w:val="24"/>
        </w:rPr>
      </w:pPr>
      <w:r>
        <w:rPr>
          <w:rFonts w:hint="eastAsia" w:ascii="仿宋" w:hAnsi="仿宋" w:eastAsia="仿宋"/>
          <w:b/>
          <w:bCs/>
          <w:sz w:val="24"/>
        </w:rPr>
        <w:t>第十一条  通知和送达</w:t>
      </w:r>
    </w:p>
    <w:p w14:paraId="439502F1">
      <w:pPr>
        <w:spacing w:line="480" w:lineRule="exact"/>
        <w:ind w:firstLine="480" w:firstLineChars="200"/>
        <w:rPr>
          <w:rFonts w:ascii="仿宋" w:hAnsi="仿宋" w:eastAsia="仿宋"/>
          <w:sz w:val="24"/>
        </w:rPr>
      </w:pPr>
      <w:r>
        <w:rPr>
          <w:rFonts w:hint="eastAsia" w:ascii="仿宋" w:hAnsi="仿宋" w:eastAsia="仿宋"/>
          <w:sz w:val="24"/>
        </w:rPr>
        <w:t>（一）甲乙双方因履行本合同而相互发出或者提供的所有通知、文件、资料，均以扉页所列明的地址、电话、E</w:t>
      </w:r>
      <w:r>
        <w:rPr>
          <w:rFonts w:ascii="仿宋" w:hAnsi="仿宋" w:eastAsia="仿宋"/>
          <w:sz w:val="24"/>
        </w:rPr>
        <w:t>-mail</w:t>
      </w:r>
      <w:r>
        <w:rPr>
          <w:rFonts w:hint="eastAsia" w:ascii="仿宋" w:hAnsi="仿宋" w:eastAsia="仿宋"/>
          <w:sz w:val="24"/>
        </w:rPr>
        <w:t>送达，一方如果迁址或者变更电话、E</w:t>
      </w:r>
      <w:r>
        <w:rPr>
          <w:rFonts w:ascii="仿宋" w:hAnsi="仿宋" w:eastAsia="仿宋"/>
          <w:sz w:val="24"/>
        </w:rPr>
        <w:t>-mail</w:t>
      </w:r>
      <w:r>
        <w:rPr>
          <w:rFonts w:hint="eastAsia" w:ascii="仿宋" w:hAnsi="仿宋" w:eastAsia="仿宋"/>
          <w:sz w:val="24"/>
        </w:rPr>
        <w:t>，应当提前7日以书面形式通知对方。</w:t>
      </w:r>
    </w:p>
    <w:p w14:paraId="25D4496C">
      <w:pPr>
        <w:spacing w:line="480" w:lineRule="exact"/>
        <w:ind w:firstLine="480" w:firstLineChars="200"/>
        <w:rPr>
          <w:rFonts w:ascii="仿宋" w:hAnsi="仿宋" w:eastAsia="仿宋"/>
          <w:sz w:val="24"/>
        </w:rPr>
      </w:pPr>
      <w:r>
        <w:rPr>
          <w:rFonts w:hint="eastAsia" w:ascii="仿宋" w:hAnsi="仿宋" w:eastAsia="仿宋"/>
          <w:sz w:val="24"/>
        </w:rPr>
        <w:t>（二）当面交付文件的，在交付之时为送达；通过传真方式的，在发出传真时视为送达；通过电子邮件、微信、短信方式发送的，在电子邮件、微信、短信发送成功时视为送达；以邮寄方式的，挂号寄出或者投邮之日起第3日视为送达。</w:t>
      </w:r>
    </w:p>
    <w:p w14:paraId="0B1DA448">
      <w:pPr>
        <w:spacing w:line="480" w:lineRule="exact"/>
        <w:ind w:firstLine="480" w:firstLineChars="200"/>
        <w:rPr>
          <w:rFonts w:ascii="仿宋" w:hAnsi="仿宋" w:eastAsia="仿宋"/>
          <w:sz w:val="24"/>
        </w:rPr>
      </w:pPr>
      <w:r>
        <w:rPr>
          <w:rFonts w:hint="eastAsia" w:ascii="仿宋" w:hAnsi="仿宋" w:eastAsia="仿宋"/>
          <w:sz w:val="24"/>
        </w:rPr>
        <w:t>（三）以上送达方式亦适用于双方发生争议时相关法律文书的送达。</w:t>
      </w:r>
    </w:p>
    <w:p w14:paraId="261185DB">
      <w:pPr>
        <w:spacing w:line="360" w:lineRule="auto"/>
        <w:ind w:firstLine="482" w:firstLineChars="200"/>
        <w:rPr>
          <w:rFonts w:ascii="仿宋" w:hAnsi="仿宋" w:eastAsia="仿宋"/>
          <w:b/>
          <w:sz w:val="24"/>
        </w:rPr>
      </w:pPr>
    </w:p>
    <w:p w14:paraId="40FD4710">
      <w:pPr>
        <w:tabs>
          <w:tab w:val="left" w:pos="2865"/>
        </w:tabs>
        <w:spacing w:line="360" w:lineRule="auto"/>
        <w:ind w:firstLine="480" w:firstLineChars="200"/>
        <w:rPr>
          <w:rFonts w:ascii="仿宋" w:hAnsi="仿宋" w:eastAsia="仿宋"/>
          <w:sz w:val="24"/>
        </w:rPr>
      </w:pPr>
      <w:r>
        <w:rPr>
          <w:rFonts w:hint="eastAsia" w:ascii="仿宋" w:hAnsi="仿宋" w:eastAsia="仿宋"/>
          <w:sz w:val="24"/>
        </w:rPr>
        <w:t>（以下无正文）</w:t>
      </w:r>
    </w:p>
    <w:p w14:paraId="3D7F3197">
      <w:pPr>
        <w:spacing w:line="360" w:lineRule="auto"/>
        <w:ind w:firstLine="480" w:firstLineChars="200"/>
        <w:rPr>
          <w:rFonts w:ascii="仿宋" w:hAnsi="仿宋" w:eastAsia="仿宋"/>
          <w:sz w:val="24"/>
        </w:rPr>
      </w:pPr>
    </w:p>
    <w:p w14:paraId="7264C979">
      <w:pPr>
        <w:spacing w:line="360" w:lineRule="auto"/>
        <w:ind w:firstLine="480" w:firstLineChars="200"/>
        <w:rPr>
          <w:rFonts w:ascii="仿宋" w:hAnsi="仿宋" w:eastAsia="仿宋"/>
          <w:sz w:val="24"/>
        </w:rPr>
      </w:pPr>
    </w:p>
    <w:p w14:paraId="61C9EA43">
      <w:pPr>
        <w:spacing w:line="360" w:lineRule="auto"/>
        <w:ind w:firstLine="480" w:firstLineChars="200"/>
        <w:rPr>
          <w:rFonts w:ascii="仿宋" w:hAnsi="仿宋" w:eastAsia="仿宋"/>
          <w:sz w:val="24"/>
        </w:rPr>
      </w:pPr>
    </w:p>
    <w:tbl>
      <w:tblPr>
        <w:tblStyle w:val="14"/>
        <w:tblW w:w="8819" w:type="dxa"/>
        <w:tblInd w:w="468" w:type="dxa"/>
        <w:tblLayout w:type="fixed"/>
        <w:tblCellMar>
          <w:top w:w="0" w:type="dxa"/>
          <w:left w:w="108" w:type="dxa"/>
          <w:bottom w:w="0" w:type="dxa"/>
          <w:right w:w="108" w:type="dxa"/>
        </w:tblCellMar>
      </w:tblPr>
      <w:tblGrid>
        <w:gridCol w:w="4410"/>
        <w:gridCol w:w="4409"/>
      </w:tblGrid>
      <w:tr w14:paraId="179267F1">
        <w:tblPrEx>
          <w:tblCellMar>
            <w:top w:w="0" w:type="dxa"/>
            <w:left w:w="108" w:type="dxa"/>
            <w:bottom w:w="0" w:type="dxa"/>
            <w:right w:w="108" w:type="dxa"/>
          </w:tblCellMar>
        </w:tblPrEx>
        <w:trPr>
          <w:trHeight w:val="906" w:hRule="atLeast"/>
        </w:trPr>
        <w:tc>
          <w:tcPr>
            <w:tcW w:w="4410" w:type="dxa"/>
          </w:tcPr>
          <w:p w14:paraId="5F355712">
            <w:pPr>
              <w:spacing w:line="360" w:lineRule="auto"/>
              <w:ind w:left="723" w:hanging="723" w:hangingChars="300"/>
              <w:rPr>
                <w:rFonts w:ascii="仿宋" w:hAnsi="仿宋" w:eastAsia="仿宋"/>
                <w:sz w:val="24"/>
              </w:rPr>
            </w:pPr>
            <w:r>
              <w:rPr>
                <w:rFonts w:hint="eastAsia" w:ascii="仿宋" w:hAnsi="仿宋" w:eastAsia="仿宋"/>
                <w:b/>
                <w:bCs/>
                <w:sz w:val="24"/>
              </w:rPr>
              <w:t>甲方：</w:t>
            </w:r>
            <w:r>
              <w:rPr>
                <w:rFonts w:hint="eastAsia" w:ascii="仿宋" w:hAnsi="仿宋" w:eastAsia="仿宋"/>
                <w:sz w:val="24"/>
              </w:rPr>
              <w:t>广州市城投资产经营管理有限公司珠江新城分公司</w:t>
            </w:r>
          </w:p>
        </w:tc>
        <w:tc>
          <w:tcPr>
            <w:tcW w:w="4409" w:type="dxa"/>
          </w:tcPr>
          <w:p w14:paraId="78F9C2CC">
            <w:pPr>
              <w:spacing w:line="360" w:lineRule="auto"/>
              <w:rPr>
                <w:rFonts w:ascii="仿宋" w:hAnsi="仿宋" w:eastAsia="仿宋"/>
                <w:sz w:val="24"/>
              </w:rPr>
            </w:pPr>
            <w:r>
              <w:rPr>
                <w:rFonts w:hint="eastAsia" w:ascii="仿宋" w:hAnsi="仿宋" w:eastAsia="仿宋"/>
                <w:b/>
                <w:bCs/>
                <w:sz w:val="24"/>
              </w:rPr>
              <w:t>乙方：</w:t>
            </w:r>
          </w:p>
        </w:tc>
      </w:tr>
      <w:tr w14:paraId="5C075E2C">
        <w:tblPrEx>
          <w:tblCellMar>
            <w:top w:w="0" w:type="dxa"/>
            <w:left w:w="108" w:type="dxa"/>
            <w:bottom w:w="0" w:type="dxa"/>
            <w:right w:w="108" w:type="dxa"/>
          </w:tblCellMar>
        </w:tblPrEx>
        <w:trPr>
          <w:trHeight w:val="932" w:hRule="atLeast"/>
        </w:trPr>
        <w:tc>
          <w:tcPr>
            <w:tcW w:w="4410" w:type="dxa"/>
          </w:tcPr>
          <w:p w14:paraId="35A8E0F5">
            <w:pPr>
              <w:spacing w:line="360" w:lineRule="auto"/>
              <w:rPr>
                <w:rFonts w:ascii="仿宋" w:hAnsi="仿宋" w:eastAsia="仿宋"/>
                <w:sz w:val="24"/>
              </w:rPr>
            </w:pPr>
            <w:r>
              <w:rPr>
                <w:rFonts w:hint="eastAsia" w:ascii="仿宋" w:hAnsi="仿宋" w:eastAsia="仿宋"/>
                <w:sz w:val="24"/>
              </w:rPr>
              <w:t>负责人/授权代表：</w:t>
            </w:r>
          </w:p>
        </w:tc>
        <w:tc>
          <w:tcPr>
            <w:tcW w:w="4409" w:type="dxa"/>
          </w:tcPr>
          <w:p w14:paraId="207F08A3">
            <w:pPr>
              <w:spacing w:line="360" w:lineRule="auto"/>
              <w:rPr>
                <w:rFonts w:ascii="仿宋" w:hAnsi="仿宋" w:eastAsia="仿宋"/>
                <w:sz w:val="24"/>
              </w:rPr>
            </w:pPr>
            <w:r>
              <w:rPr>
                <w:rFonts w:hint="eastAsia" w:ascii="仿宋" w:hAnsi="仿宋" w:eastAsia="仿宋"/>
                <w:sz w:val="24"/>
              </w:rPr>
              <w:t>承办律师：</w:t>
            </w:r>
          </w:p>
        </w:tc>
      </w:tr>
      <w:tr w14:paraId="3BFFD5D1">
        <w:tblPrEx>
          <w:tblCellMar>
            <w:top w:w="0" w:type="dxa"/>
            <w:left w:w="108" w:type="dxa"/>
            <w:bottom w:w="0" w:type="dxa"/>
            <w:right w:w="108" w:type="dxa"/>
          </w:tblCellMar>
        </w:tblPrEx>
        <w:trPr>
          <w:trHeight w:val="171" w:hRule="atLeast"/>
        </w:trPr>
        <w:tc>
          <w:tcPr>
            <w:tcW w:w="4410" w:type="dxa"/>
          </w:tcPr>
          <w:p w14:paraId="06C1BEAA">
            <w:pPr>
              <w:spacing w:line="360" w:lineRule="auto"/>
              <w:rPr>
                <w:rFonts w:ascii="仿宋" w:hAnsi="仿宋" w:eastAsia="仿宋"/>
                <w:sz w:val="24"/>
              </w:rPr>
            </w:pPr>
            <w:r>
              <w:rPr>
                <w:rFonts w:hint="eastAsia" w:ascii="仿宋" w:hAnsi="仿宋" w:eastAsia="仿宋"/>
                <w:sz w:val="24"/>
              </w:rPr>
              <w:t>签约时间：</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tc>
        <w:tc>
          <w:tcPr>
            <w:tcW w:w="4409" w:type="dxa"/>
          </w:tcPr>
          <w:p w14:paraId="70D51D0D">
            <w:pPr>
              <w:spacing w:line="360" w:lineRule="auto"/>
              <w:rPr>
                <w:rFonts w:ascii="仿宋" w:hAnsi="仿宋" w:eastAsia="仿宋"/>
                <w:sz w:val="24"/>
              </w:rPr>
            </w:pPr>
            <w:r>
              <w:rPr>
                <w:rFonts w:hint="eastAsia" w:ascii="仿宋" w:hAnsi="仿宋" w:eastAsia="仿宋"/>
                <w:sz w:val="24"/>
              </w:rPr>
              <w:t>签约时间：</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tc>
      </w:tr>
    </w:tbl>
    <w:p w14:paraId="53A1EF06">
      <w:pPr>
        <w:tabs>
          <w:tab w:val="left" w:pos="8190"/>
        </w:tabs>
        <w:jc w:val="left"/>
        <w:rPr>
          <w:rFonts w:hint="eastAsia" w:ascii="仿宋_GB2312" w:eastAsia="仿宋_GB2312"/>
          <w:b w:val="0"/>
          <w:bCs w:val="0"/>
          <w:szCs w:val="21"/>
          <w:lang w:val="en-US" w:eastAsia="zh-CN"/>
        </w:rPr>
        <w:sectPr>
          <w:footerReference r:id="rId7" w:type="default"/>
          <w:pgSz w:w="11900" w:h="16840"/>
          <w:pgMar w:top="1440" w:right="1247" w:bottom="1021" w:left="1247" w:header="851" w:footer="992" w:gutter="0"/>
          <w:cols w:space="425" w:num="1"/>
          <w:docGrid w:type="lines" w:linePitch="312" w:charSpace="0"/>
        </w:sectPr>
      </w:pPr>
    </w:p>
    <w:p w14:paraId="67947E92">
      <w:pPr>
        <w:tabs>
          <w:tab w:val="left" w:pos="8190"/>
        </w:tabs>
        <w:jc w:val="left"/>
        <w:rPr>
          <w:rFonts w:ascii="宋体" w:hAnsi="宋体" w:eastAsia="宋体" w:cs="Times New Roman"/>
          <w:color w:val="000000"/>
          <w:sz w:val="24"/>
        </w:rPr>
      </w:pPr>
    </w:p>
    <w:p w14:paraId="747BB21C">
      <w:pPr>
        <w:tabs>
          <w:tab w:val="left" w:pos="8190"/>
        </w:tabs>
        <w:rPr>
          <w:rFonts w:hint="default" w:ascii="仿宋" w:hAnsi="仿宋" w:eastAsia="仿宋" w:cs="仿宋"/>
          <w:lang w:val="en-US" w:eastAsia="zh-CN"/>
        </w:rPr>
      </w:pPr>
      <w:r>
        <w:rPr>
          <w:rFonts w:hint="eastAsia" w:ascii="仿宋" w:hAnsi="仿宋" w:eastAsia="仿宋" w:cs="仿宋"/>
          <w:lang w:val="en-US" w:eastAsia="zh-CN"/>
        </w:rPr>
        <w:t>附件：廉洁协议</w:t>
      </w:r>
    </w:p>
    <w:p w14:paraId="3BEBED25">
      <w:pPr>
        <w:widowControl w:val="0"/>
        <w:kinsoku/>
        <w:autoSpaceDE/>
        <w:autoSpaceDN/>
        <w:adjustRightInd/>
        <w:snapToGrid/>
        <w:spacing w:line="400" w:lineRule="exact"/>
        <w:jc w:val="center"/>
        <w:textAlignment w:val="auto"/>
        <w:rPr>
          <w:rFonts w:ascii="仿宋_GB2312" w:hAnsi="仿宋_GB2312" w:eastAsia="仿宋_GB2312" w:cs="仿宋_GB2312"/>
          <w:b/>
          <w:snapToGrid/>
          <w:color w:val="auto"/>
          <w:kern w:val="2"/>
          <w:sz w:val="28"/>
          <w:szCs w:val="28"/>
          <w:highlight w:val="none"/>
          <w:lang w:eastAsia="zh-CN"/>
        </w:rPr>
      </w:pPr>
      <w:r>
        <w:rPr>
          <w:rFonts w:hint="eastAsia" w:ascii="仿宋_GB2312" w:hAnsi="仿宋_GB2312" w:eastAsia="仿宋_GB2312" w:cs="仿宋_GB2312"/>
          <w:b/>
          <w:snapToGrid/>
          <w:color w:val="auto"/>
          <w:kern w:val="2"/>
          <w:sz w:val="28"/>
          <w:szCs w:val="28"/>
          <w:highlight w:val="none"/>
          <w:lang w:eastAsia="zh-CN"/>
        </w:rPr>
        <w:t>廉洁协议</w:t>
      </w:r>
    </w:p>
    <w:p w14:paraId="19EF7658">
      <w:pPr>
        <w:widowControl w:val="0"/>
        <w:kinsoku/>
        <w:autoSpaceDE/>
        <w:autoSpaceDN/>
        <w:adjustRightInd/>
        <w:snapToGrid/>
        <w:spacing w:line="360" w:lineRule="auto"/>
        <w:jc w:val="left"/>
        <w:textAlignment w:val="auto"/>
        <w:rPr>
          <w:rFonts w:hint="eastAsia" w:ascii="仿宋_GB2312" w:hAnsi="仿宋_GB2312" w:eastAsia="仿宋_GB2312" w:cs="仿宋_GB2312"/>
          <w:snapToGrid/>
          <w:color w:val="auto"/>
          <w:kern w:val="2"/>
          <w:sz w:val="24"/>
          <w:szCs w:val="24"/>
          <w:highlight w:val="none"/>
          <w:lang w:eastAsia="zh-CN"/>
        </w:rPr>
      </w:pPr>
    </w:p>
    <w:p w14:paraId="27006479">
      <w:pPr>
        <w:tabs>
          <w:tab w:val="left" w:pos="8190"/>
        </w:tabs>
        <w:spacing w:line="360" w:lineRule="auto"/>
        <w:rPr>
          <w:rFonts w:ascii="仿宋" w:hAnsi="仿宋" w:eastAsia="仿宋"/>
          <w:sz w:val="24"/>
          <w:szCs w:val="24"/>
        </w:rPr>
      </w:pPr>
      <w:r>
        <w:rPr>
          <w:rFonts w:hint="eastAsia" w:ascii="仿宋_GB2312" w:hAnsi="仿宋_GB2312" w:eastAsia="仿宋_GB2312" w:cs="仿宋_GB2312"/>
          <w:snapToGrid/>
          <w:color w:val="auto"/>
          <w:kern w:val="2"/>
          <w:sz w:val="24"/>
          <w:szCs w:val="24"/>
          <w:highlight w:val="none"/>
          <w:lang w:eastAsia="zh-CN"/>
        </w:rPr>
        <w:t>甲方：</w:t>
      </w:r>
      <w:r>
        <w:rPr>
          <w:rFonts w:hint="eastAsia" w:ascii="仿宋" w:hAnsi="仿宋" w:eastAsia="仿宋"/>
          <w:sz w:val="24"/>
          <w:szCs w:val="24"/>
        </w:rPr>
        <w:t>广州市城投资产经营管理有限公司</w:t>
      </w:r>
      <w:r>
        <w:rPr>
          <w:rFonts w:hint="eastAsia" w:ascii="仿宋" w:hAnsi="仿宋" w:eastAsia="仿宋"/>
          <w:sz w:val="24"/>
          <w:szCs w:val="24"/>
          <w:lang w:val="en-US" w:eastAsia="zh-CN"/>
        </w:rPr>
        <w:t>珠江新城</w:t>
      </w:r>
      <w:r>
        <w:rPr>
          <w:rFonts w:hint="eastAsia" w:ascii="仿宋" w:hAnsi="仿宋" w:eastAsia="仿宋"/>
          <w:sz w:val="24"/>
          <w:szCs w:val="24"/>
        </w:rPr>
        <w:t>分公司</w:t>
      </w:r>
    </w:p>
    <w:p w14:paraId="74C33D49">
      <w:pPr>
        <w:tabs>
          <w:tab w:val="left" w:pos="8190"/>
        </w:tabs>
        <w:spacing w:line="360" w:lineRule="auto"/>
        <w:rPr>
          <w:rFonts w:hint="eastAsia" w:ascii="仿宋_GB2312" w:hAnsi="仿宋_GB2312" w:eastAsia="仿宋_GB2312" w:cs="仿宋_GB2312"/>
          <w:snapToGrid/>
          <w:color w:val="auto"/>
          <w:kern w:val="2"/>
          <w:sz w:val="24"/>
          <w:szCs w:val="24"/>
          <w:highlight w:val="none"/>
          <w:lang w:eastAsia="zh-CN"/>
        </w:rPr>
      </w:pPr>
      <w:r>
        <w:rPr>
          <w:rFonts w:hint="eastAsia" w:ascii="仿宋_GB2312" w:hAnsi="仿宋_GB2312" w:eastAsia="仿宋_GB2312" w:cs="仿宋_GB2312"/>
          <w:snapToGrid/>
          <w:color w:val="auto"/>
          <w:kern w:val="2"/>
          <w:sz w:val="24"/>
          <w:szCs w:val="24"/>
          <w:highlight w:val="none"/>
          <w:lang w:eastAsia="zh-CN"/>
        </w:rPr>
        <w:t>乙方：</w:t>
      </w:r>
    </w:p>
    <w:p w14:paraId="11A49AAC">
      <w:pPr>
        <w:tabs>
          <w:tab w:val="left" w:pos="8190"/>
        </w:tabs>
        <w:spacing w:line="360" w:lineRule="auto"/>
        <w:rPr>
          <w:rFonts w:hint="default" w:ascii="仿宋_GB2312" w:hAnsi="仿宋_GB2312" w:eastAsia="仿宋_GB2312" w:cs="仿宋_GB2312"/>
          <w:snapToGrid/>
          <w:color w:val="auto"/>
          <w:kern w:val="2"/>
          <w:sz w:val="24"/>
          <w:szCs w:val="24"/>
          <w:highlight w:val="none"/>
          <w:lang w:val="en-US" w:eastAsia="zh-CN"/>
        </w:rPr>
      </w:pPr>
    </w:p>
    <w:p w14:paraId="7D6AA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为保障甲方和乙方在业务往来中的合法权益，促进企业党风建设、廉洁从业，预防商业贿赂和不正当竞争，</w:t>
      </w:r>
      <w:r>
        <w:rPr>
          <w:rFonts w:hint="eastAsia" w:ascii="仿宋_GB2312" w:hAnsi="宋体" w:eastAsia="仿宋_GB2312" w:cs="仿宋_GB2312"/>
          <w:bCs/>
          <w:iCs/>
          <w:kern w:val="2"/>
          <w:sz w:val="24"/>
          <w:szCs w:val="24"/>
          <w:highlight w:val="none"/>
          <w:lang w:val="en-US" w:eastAsia="zh-CN" w:bidi="ar"/>
        </w:rPr>
        <w:t>按照</w:t>
      </w:r>
      <w:r>
        <w:rPr>
          <w:rFonts w:hint="eastAsia" w:ascii="仿宋_GB2312" w:hAnsi="Times New Roman" w:eastAsia="仿宋_GB2312" w:cs="仿宋_GB2312"/>
          <w:kern w:val="2"/>
          <w:sz w:val="24"/>
          <w:szCs w:val="24"/>
          <w:highlight w:val="none"/>
          <w:lang w:val="en-US" w:eastAsia="zh-CN" w:bidi="ar"/>
        </w:rPr>
        <w:t>《中国共产党纪律处分条例》、《中华人民共和国公职人员政务处分法》、《国有企业领导人员廉洁从业若干规定》和有关法律法规、廉洁从业的相关规定，经甲乙双方协商一致，自愿签订本协议。甲乙双方一致确认，本协议效力及于乙方与甲方的所有业务往来关系的全过程，包括但不限于招投标、商务谈判等采购环节及合同签订、履行环节等。</w:t>
      </w:r>
    </w:p>
    <w:p w14:paraId="441083B3">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 xml:space="preserve">  甲乙双方责任</w:t>
      </w:r>
    </w:p>
    <w:p w14:paraId="6564CB0D">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严格遵守国家法律法规和廉洁从业规定以及相关行业行风建设的纪律和规定。</w:t>
      </w:r>
    </w:p>
    <w:p w14:paraId="3E85D4D4">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严格执行合同，自觉按合同办事。</w:t>
      </w:r>
    </w:p>
    <w:p w14:paraId="406DB22E">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双方的业务活动必须坚持公开、公平、公正、诚信、透明的原则（法律法规另有规定或双方约定除外），不得损害国家和企业利益。</w:t>
      </w:r>
    </w:p>
    <w:p w14:paraId="34F94005">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发现对方在业务活动中有违反廉洁从业规定或本协议约定的行为，应及时提醒和纠正对方。</w:t>
      </w:r>
    </w:p>
    <w:p w14:paraId="72B0E301">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发现对方在业务活动中有严重违反廉洁从业规定的行为，有权向对方主管部门或有关部门举报。</w:t>
      </w:r>
    </w:p>
    <w:p w14:paraId="1F06664B">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 xml:space="preserve">  甲方应遵守下列条款</w:t>
      </w:r>
    </w:p>
    <w:p w14:paraId="152213FE">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甲方、甲方工作人员及其亲属不得以暗示或任何形式向乙方索要或收受回扣、提成、现金、有价证券、支付凭证和贵重礼品等财物。</w:t>
      </w:r>
    </w:p>
    <w:p w14:paraId="7B2E4A75">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甲方及其工作人员不得参加乙方安排的宴请（工作餐除外）、娱乐活动、高档消费；不得接受乙方向甲方及其工作人员提供的通信工具、交通工具和高档办公用品等物品。</w:t>
      </w:r>
    </w:p>
    <w:p w14:paraId="19A73F9C">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甲方及其工作人员不得以任何理由要求、暗示或接受乙方和相关单位为其在度假、出国（出境）旅游、婚丧嫁娶、住房装修、配偶子女等亲属工作安排等方面提供方便。</w:t>
      </w:r>
    </w:p>
    <w:p w14:paraId="1F72D019">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甲方工作人员不得在乙方报销应由甲方或个人支付的任何费用。</w:t>
      </w:r>
    </w:p>
    <w:p w14:paraId="351D22DB">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甲方工作人员及其配偶、子女及其他特定关系人不得以个人借用（包含甲方借给乙方或乙方借给甲方）等名义与乙方或乙方工作人员发生现金、房屋、交通工具和贵重物品往来。</w:t>
      </w:r>
    </w:p>
    <w:p w14:paraId="1BCADF4C">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如果乙方向甲方工作人员提供第三条第（一）至（五）款所指的内容，甲方工作人员应拒绝对方；对于无法拒绝的，应及时向甲方纪检部门举报。</w:t>
      </w:r>
    </w:p>
    <w:p w14:paraId="1030B820">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 xml:space="preserve">  乙方应遵守下列条款</w:t>
      </w:r>
    </w:p>
    <w:p w14:paraId="056B825A">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乙方不得以任何形式向甲方及其工作人员馈赠现金、有价证券、支付凭证和贵重礼品等财物。</w:t>
      </w:r>
    </w:p>
    <w:p w14:paraId="70CEA371">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乙方不得以任何理由邀请甲方工作人员参加有可能影响业务活动的宴请及娱乐活动；不得为甲方及其工作人员提供的通信工具、交通工具和高档办公用品等物品。</w:t>
      </w:r>
    </w:p>
    <w:p w14:paraId="6240EB7A">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乙方不得为甲方工作人员在度假、出国（出境）旅游、婚丧嫁娶、住房装修、配偶子女等亲属工作安排等方面提供方便。</w:t>
      </w:r>
    </w:p>
    <w:p w14:paraId="21DE679A">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乙方不得以任何名义为甲方工作人员及其亲属支付应由个人支付的各种费用。</w:t>
      </w:r>
    </w:p>
    <w:p w14:paraId="7DF55900">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乙方或乙方工作人员不得以借用（包含甲方借给乙方或乙方借给甲方）等名义与甲方工作人员及其配偶、子女及其他特定关系人发生现金、房屋、交通工具和贵重物品往来。</w:t>
      </w:r>
    </w:p>
    <w:p w14:paraId="4D3D211C">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甲方工作人员主动向乙方索要或要求乙方安排和提供第三条（一）至（五）款所指的内容，乙方应予以拒绝，并向甲方纪检部门及时举报（举报电话：26080687-8593，举报邮箱：gzctjygsjjs@163.com）。</w:t>
      </w:r>
    </w:p>
    <w:p w14:paraId="7EE46961">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 xml:space="preserve">  违约责任</w:t>
      </w:r>
    </w:p>
    <w:p w14:paraId="6CF869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甲乙双方工作人员如违反本协议，按照管理权限，依据有关法律法规和相关规定给予党纪、政纪处分或组织处理；涉嫌犯罪的，移交司法机关追究刑事责任；给对方单位造成经济损失的，应予以赔偿。</w:t>
      </w:r>
    </w:p>
    <w:p w14:paraId="6EB0F337">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 xml:space="preserve">  如甲乙双方有违反国家法律法规和廉洁从业规定的其他行为，参照本协议约定执行。</w:t>
      </w:r>
    </w:p>
    <w:p w14:paraId="4A972BE1">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 xml:space="preserve">  本协议经双方盖章后生效，一式陆份，甲方执肆份，乙方执贰份，具有同等法律效力。</w:t>
      </w:r>
    </w:p>
    <w:p w14:paraId="4D3901F4">
      <w:pPr>
        <w:keepNext w:val="0"/>
        <w:keepLines w:val="0"/>
        <w:widowControl w:val="0"/>
        <w:suppressLineNumbers w:val="0"/>
        <w:spacing w:before="0" w:beforeAutospacing="0" w:after="0" w:afterAutospacing="0" w:line="360" w:lineRule="auto"/>
        <w:ind w:left="0" w:right="0" w:firstLine="0" w:firstLineChars="0"/>
        <w:jc w:val="left"/>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（以下无正文）</w:t>
      </w:r>
    </w:p>
    <w:p w14:paraId="13E7CBA6">
      <w:pPr>
        <w:spacing w:line="360" w:lineRule="auto"/>
        <w:jc w:val="left"/>
        <w:rPr>
          <w:rFonts w:hint="eastAsia" w:ascii="仿宋_GB2312" w:eastAsia="仿宋_GB2312" w:cs="仿宋_GB2312"/>
          <w:kern w:val="2"/>
          <w:sz w:val="24"/>
          <w:szCs w:val="24"/>
          <w:highlight w:val="none"/>
        </w:rPr>
      </w:pPr>
    </w:p>
    <w:p w14:paraId="0C4A41AA">
      <w:pPr>
        <w:spacing w:line="360" w:lineRule="auto"/>
        <w:jc w:val="left"/>
        <w:rPr>
          <w:rFonts w:hint="eastAsia" w:ascii="仿宋_GB2312" w:eastAsia="仿宋_GB2312" w:cs="仿宋_GB2312"/>
          <w:kern w:val="2"/>
          <w:sz w:val="24"/>
          <w:szCs w:val="24"/>
          <w:highlight w:val="none"/>
        </w:rPr>
      </w:pPr>
    </w:p>
    <w:p w14:paraId="69894012">
      <w:pPr>
        <w:spacing w:line="360" w:lineRule="auto"/>
        <w:jc w:val="left"/>
        <w:rPr>
          <w:rFonts w:hint="eastAsia" w:ascii="仿宋_GB2312" w:eastAsia="仿宋_GB2312" w:cs="仿宋_GB2312"/>
          <w:kern w:val="2"/>
          <w:sz w:val="24"/>
          <w:szCs w:val="24"/>
          <w:highlight w:val="none"/>
        </w:rPr>
      </w:pPr>
    </w:p>
    <w:p w14:paraId="63F05948">
      <w:pPr>
        <w:spacing w:line="360" w:lineRule="auto"/>
        <w:jc w:val="left"/>
        <w:rPr>
          <w:rFonts w:hint="eastAsia" w:ascii="仿宋_GB2312" w:eastAsia="仿宋_GB2312" w:cs="仿宋_GB2312"/>
          <w:kern w:val="2"/>
          <w:sz w:val="24"/>
          <w:szCs w:val="24"/>
          <w:highlight w:val="none"/>
          <w:lang w:val="en-US" w:eastAsia="zh-CN"/>
        </w:rPr>
      </w:pPr>
    </w:p>
    <w:p w14:paraId="7451CA80">
      <w:pPr>
        <w:spacing w:line="360" w:lineRule="auto"/>
        <w:jc w:val="left"/>
        <w:rPr>
          <w:rFonts w:hint="eastAsia" w:ascii="仿宋_GB2312" w:eastAsia="仿宋_GB2312" w:cs="仿宋_GB2312"/>
          <w:kern w:val="2"/>
          <w:sz w:val="24"/>
          <w:szCs w:val="24"/>
          <w:highlight w:val="none"/>
          <w:lang w:val="en-US" w:eastAsia="zh-CN"/>
        </w:rPr>
      </w:pPr>
    </w:p>
    <w:p w14:paraId="1CC691D6">
      <w:pPr>
        <w:spacing w:line="360" w:lineRule="auto"/>
        <w:jc w:val="left"/>
        <w:rPr>
          <w:rFonts w:hint="eastAsia" w:ascii="仿宋_GB2312" w:eastAsia="仿宋_GB2312" w:cs="仿宋_GB2312"/>
          <w:kern w:val="2"/>
          <w:sz w:val="24"/>
          <w:szCs w:val="24"/>
          <w:highlight w:val="none"/>
          <w:lang w:val="en-US" w:eastAsia="zh-CN"/>
        </w:rPr>
      </w:pPr>
    </w:p>
    <w:p w14:paraId="18B957EC">
      <w:pPr>
        <w:spacing w:line="360" w:lineRule="auto"/>
        <w:jc w:val="left"/>
        <w:rPr>
          <w:rFonts w:hint="eastAsia" w:ascii="仿宋_GB2312" w:eastAsia="仿宋_GB2312" w:cs="仿宋_GB2312"/>
          <w:kern w:val="2"/>
          <w:sz w:val="24"/>
          <w:szCs w:val="24"/>
          <w:highlight w:val="none"/>
          <w:lang w:val="en-US" w:eastAsia="zh-CN"/>
        </w:rPr>
      </w:pPr>
    </w:p>
    <w:p w14:paraId="510F04D2">
      <w:pPr>
        <w:spacing w:line="360" w:lineRule="auto"/>
        <w:jc w:val="left"/>
        <w:rPr>
          <w:rFonts w:hint="default" w:ascii="仿宋_GB2312" w:eastAsia="仿宋_GB2312" w:cs="仿宋_GB2312"/>
          <w:kern w:val="2"/>
          <w:sz w:val="24"/>
          <w:szCs w:val="24"/>
          <w:highlight w:val="none"/>
          <w:lang w:val="en-US" w:eastAsia="zh-CN"/>
        </w:rPr>
      </w:pPr>
      <w:r>
        <w:rPr>
          <w:rFonts w:hint="eastAsia" w:ascii="仿宋_GB2312" w:eastAsia="仿宋_GB2312" w:cs="仿宋_GB2312"/>
          <w:kern w:val="2"/>
          <w:sz w:val="24"/>
          <w:szCs w:val="24"/>
          <w:highlight w:val="none"/>
          <w:lang w:val="en-US" w:eastAsia="zh-CN"/>
        </w:rPr>
        <w:t>（本页为签署页）</w:t>
      </w:r>
    </w:p>
    <w:p w14:paraId="312A5BB0">
      <w:pPr>
        <w:spacing w:line="360" w:lineRule="auto"/>
        <w:jc w:val="left"/>
        <w:rPr>
          <w:rFonts w:hint="eastAsia" w:ascii="仿宋_GB2312" w:eastAsia="仿宋_GB2312" w:cs="仿宋_GB2312"/>
          <w:kern w:val="2"/>
          <w:sz w:val="24"/>
          <w:szCs w:val="24"/>
          <w:highlight w:val="none"/>
        </w:rPr>
      </w:pPr>
    </w:p>
    <w:p w14:paraId="46C5F8CD">
      <w:pPr>
        <w:spacing w:line="360" w:lineRule="auto"/>
        <w:jc w:val="left"/>
        <w:rPr>
          <w:rFonts w:hint="eastAsia" w:ascii="仿宋_GB2312" w:eastAsia="仿宋_GB2312" w:cs="仿宋_GB2312"/>
          <w:kern w:val="2"/>
          <w:sz w:val="24"/>
          <w:szCs w:val="24"/>
          <w:highlight w:val="none"/>
        </w:rPr>
      </w:pPr>
      <w:r>
        <w:rPr>
          <w:rFonts w:hint="eastAsia" w:ascii="仿宋_GB2312" w:eastAsia="仿宋_GB2312" w:cs="仿宋_GB2312"/>
          <w:kern w:val="2"/>
          <w:sz w:val="24"/>
          <w:szCs w:val="24"/>
          <w:highlight w:val="none"/>
        </w:rPr>
        <w:t>甲  方（盖章）：广州市城投资产经营管理有限公司珠江新城分公司</w:t>
      </w:r>
    </w:p>
    <w:p w14:paraId="74554298">
      <w:pPr>
        <w:spacing w:line="360" w:lineRule="auto"/>
        <w:jc w:val="left"/>
        <w:rPr>
          <w:rFonts w:hint="eastAsia" w:ascii="仿宋_GB2312" w:eastAsia="仿宋_GB2312" w:cs="仿宋_GB2312"/>
          <w:kern w:val="2"/>
          <w:sz w:val="24"/>
          <w:szCs w:val="24"/>
          <w:highlight w:val="none"/>
          <w:lang w:val="en-US" w:eastAsia="zh-CN"/>
        </w:rPr>
      </w:pPr>
      <w:r>
        <w:rPr>
          <w:rFonts w:hint="eastAsia" w:ascii="仿宋_GB2312" w:eastAsia="仿宋_GB2312" w:cs="仿宋_GB2312"/>
          <w:kern w:val="2"/>
          <w:sz w:val="24"/>
          <w:szCs w:val="24"/>
          <w:highlight w:val="none"/>
          <w:lang w:val="en-US" w:eastAsia="zh-CN"/>
        </w:rPr>
        <w:t>法定代表人或授权代表：</w:t>
      </w:r>
    </w:p>
    <w:p w14:paraId="30F20587">
      <w:pPr>
        <w:spacing w:line="360" w:lineRule="auto"/>
        <w:jc w:val="left"/>
        <w:rPr>
          <w:rFonts w:hint="eastAsia" w:ascii="仿宋_GB2312" w:eastAsia="仿宋_GB2312" w:cs="仿宋_GB2312"/>
          <w:kern w:val="2"/>
          <w:sz w:val="24"/>
          <w:szCs w:val="24"/>
          <w:highlight w:val="none"/>
          <w:lang w:val="en-US" w:eastAsia="zh-CN"/>
        </w:rPr>
      </w:pPr>
      <w:r>
        <w:rPr>
          <w:rFonts w:hint="eastAsia" w:ascii="仿宋_GB2312" w:eastAsia="仿宋_GB2312" w:cs="仿宋_GB2312"/>
          <w:kern w:val="2"/>
          <w:sz w:val="24"/>
          <w:szCs w:val="24"/>
          <w:highlight w:val="none"/>
          <w:lang w:val="en-US" w:eastAsia="zh-CN"/>
        </w:rPr>
        <w:t>日期：</w:t>
      </w:r>
    </w:p>
    <w:p w14:paraId="4B6F84A5">
      <w:pPr>
        <w:spacing w:line="360" w:lineRule="auto"/>
        <w:jc w:val="left"/>
        <w:rPr>
          <w:rFonts w:hint="eastAsia" w:ascii="仿宋_GB2312" w:eastAsia="仿宋_GB2312" w:cs="仿宋_GB2312"/>
          <w:kern w:val="2"/>
          <w:sz w:val="24"/>
          <w:szCs w:val="24"/>
          <w:highlight w:val="none"/>
          <w:lang w:val="en-US" w:eastAsia="zh-CN"/>
        </w:rPr>
      </w:pPr>
    </w:p>
    <w:p w14:paraId="054B5AC9">
      <w:pPr>
        <w:spacing w:line="360" w:lineRule="auto"/>
        <w:jc w:val="left"/>
        <w:rPr>
          <w:rFonts w:hint="eastAsia" w:ascii="仿宋_GB2312" w:eastAsia="仿宋_GB2312" w:cs="仿宋_GB2312"/>
          <w:kern w:val="2"/>
          <w:sz w:val="24"/>
          <w:szCs w:val="24"/>
          <w:highlight w:val="none"/>
          <w:lang w:val="en-US" w:eastAsia="zh-CN"/>
        </w:rPr>
      </w:pPr>
    </w:p>
    <w:p w14:paraId="729CFBA7">
      <w:pPr>
        <w:spacing w:line="360" w:lineRule="auto"/>
        <w:jc w:val="left"/>
        <w:rPr>
          <w:rFonts w:hint="eastAsia" w:ascii="仿宋_GB2312" w:eastAsia="仿宋_GB2312" w:cs="仿宋_GB2312"/>
          <w:kern w:val="2"/>
          <w:sz w:val="24"/>
          <w:szCs w:val="24"/>
          <w:highlight w:val="none"/>
        </w:rPr>
      </w:pPr>
      <w:r>
        <w:rPr>
          <w:rFonts w:hint="eastAsia" w:ascii="仿宋_GB2312" w:eastAsia="仿宋_GB2312" w:cs="仿宋_GB2312"/>
          <w:kern w:val="2"/>
          <w:sz w:val="24"/>
          <w:szCs w:val="24"/>
          <w:highlight w:val="none"/>
        </w:rPr>
        <w:t>乙   方（盖章）：</w:t>
      </w:r>
    </w:p>
    <w:p w14:paraId="69D25C53">
      <w:pPr>
        <w:spacing w:line="360" w:lineRule="auto"/>
        <w:jc w:val="left"/>
        <w:rPr>
          <w:rFonts w:hint="eastAsia" w:ascii="仿宋_GB2312" w:eastAsia="仿宋_GB2312" w:cs="仿宋_GB2312"/>
          <w:kern w:val="2"/>
          <w:sz w:val="24"/>
          <w:szCs w:val="24"/>
          <w:highlight w:val="none"/>
          <w:lang w:val="en-US" w:eastAsia="zh-CN"/>
        </w:rPr>
      </w:pPr>
      <w:r>
        <w:rPr>
          <w:rFonts w:hint="eastAsia" w:ascii="仿宋_GB2312" w:eastAsia="仿宋_GB2312" w:cs="仿宋_GB2312"/>
          <w:kern w:val="2"/>
          <w:sz w:val="24"/>
          <w:szCs w:val="24"/>
          <w:highlight w:val="none"/>
          <w:lang w:val="en-US" w:eastAsia="zh-CN"/>
        </w:rPr>
        <w:t>法定代表人或授权代表：</w:t>
      </w:r>
    </w:p>
    <w:p w14:paraId="5F0B0896">
      <w:pPr>
        <w:spacing w:line="360" w:lineRule="auto"/>
        <w:jc w:val="left"/>
        <w:rPr>
          <w:rFonts w:hint="eastAsia" w:ascii="仿宋_GB2312" w:eastAsia="仿宋_GB2312" w:cs="仿宋_GB2312"/>
          <w:kern w:val="2"/>
          <w:sz w:val="24"/>
          <w:szCs w:val="24"/>
          <w:highlight w:val="none"/>
          <w:lang w:val="en-US" w:eastAsia="zh-CN"/>
        </w:rPr>
      </w:pPr>
      <w:r>
        <w:rPr>
          <w:rFonts w:hint="eastAsia" w:ascii="仿宋_GB2312" w:eastAsia="仿宋_GB2312" w:cs="仿宋_GB2312"/>
          <w:kern w:val="2"/>
          <w:sz w:val="24"/>
          <w:szCs w:val="24"/>
          <w:highlight w:val="none"/>
          <w:lang w:val="en-US" w:eastAsia="zh-CN"/>
        </w:rPr>
        <w:t>日期：</w:t>
      </w:r>
    </w:p>
    <w:p w14:paraId="50739892">
      <w:pPr>
        <w:rPr>
          <w:rFonts w:hint="eastAsia" w:ascii="宋体" w:hAnsi="宋体" w:eastAsia="宋体" w:cs="宋体"/>
          <w:snapToGrid/>
          <w:color w:val="000000"/>
          <w:kern w:val="2"/>
          <w:szCs w:val="21"/>
          <w:lang w:val="en-US" w:eastAsia="zh-CN"/>
        </w:rPr>
      </w:pPr>
      <w:r>
        <w:rPr>
          <w:rFonts w:hint="default" w:ascii="仿宋_GB2312" w:eastAsia="仿宋_GB2312" w:cs="仿宋_GB2312"/>
          <w:kern w:val="2"/>
          <w:sz w:val="24"/>
          <w:szCs w:val="24"/>
          <w:highlight w:val="none"/>
          <w:lang w:val="en-US" w:eastAsia="zh-CN"/>
        </w:rPr>
        <w:br w:type="page"/>
      </w:r>
    </w:p>
    <w:p w14:paraId="50453A8B">
      <w:pPr>
        <w:spacing w:before="71" w:line="224" w:lineRule="auto"/>
        <w:ind w:left="3189"/>
        <w:outlineLvl w:val="1"/>
        <w:rPr>
          <w:rFonts w:hint="eastAsia" w:ascii="宋体" w:hAnsi="宋体" w:eastAsia="宋体" w:cs="宋体"/>
          <w:snapToGrid/>
          <w:kern w:val="2"/>
          <w:szCs w:val="21"/>
          <w:lang w:eastAsia="zh-CN"/>
        </w:rPr>
      </w:pPr>
    </w:p>
    <w:p w14:paraId="18F9869C">
      <w:pPr>
        <w:spacing w:before="155" w:line="225" w:lineRule="auto"/>
        <w:ind w:left="1904"/>
        <w:rPr>
          <w:rFonts w:ascii="宋体" w:hAnsi="宋体" w:eastAsia="宋体" w:cs="宋体"/>
          <w:sz w:val="35"/>
          <w:szCs w:val="35"/>
        </w:rPr>
      </w:pPr>
      <w:r>
        <w:rPr>
          <w:rFonts w:hint="eastAsia" w:ascii="宋体" w:hAnsi="宋体" w:eastAsia="宋体" w:cs="宋体"/>
          <w:b/>
          <w:bCs/>
          <w:spacing w:val="5"/>
          <w:sz w:val="35"/>
          <w:szCs w:val="35"/>
          <w:lang w:val="en-US" w:eastAsia="zh-CN"/>
        </w:rPr>
        <w:t>五、响应</w:t>
      </w:r>
      <w:r>
        <w:rPr>
          <w:rFonts w:ascii="宋体" w:hAnsi="宋体" w:eastAsia="宋体" w:cs="宋体"/>
          <w:b/>
          <w:bCs/>
          <w:spacing w:val="5"/>
          <w:sz w:val="35"/>
          <w:szCs w:val="35"/>
        </w:rPr>
        <w:t>文件格式（</w:t>
      </w:r>
      <w:r>
        <w:rPr>
          <w:rFonts w:hint="eastAsia" w:ascii="宋体" w:hAnsi="宋体" w:eastAsia="宋体" w:cs="宋体"/>
          <w:b/>
          <w:bCs/>
          <w:spacing w:val="5"/>
          <w:sz w:val="35"/>
          <w:szCs w:val="35"/>
          <w:lang w:val="en-US" w:eastAsia="zh-CN"/>
        </w:rPr>
        <w:t>竞投人</w:t>
      </w:r>
      <w:r>
        <w:rPr>
          <w:rFonts w:ascii="宋体" w:hAnsi="宋体" w:eastAsia="宋体" w:cs="宋体"/>
          <w:b/>
          <w:bCs/>
          <w:spacing w:val="5"/>
          <w:sz w:val="35"/>
          <w:szCs w:val="35"/>
        </w:rPr>
        <w:t>提交）</w:t>
      </w:r>
    </w:p>
    <w:p w14:paraId="0299CCAA">
      <w:pPr>
        <w:pStyle w:val="5"/>
        <w:spacing w:line="240" w:lineRule="auto"/>
        <w:jc w:val="center"/>
        <w:rPr>
          <w:rFonts w:hint="eastAsia" w:ascii="仿宋" w:hAnsi="仿宋" w:eastAsia="仿宋" w:cs="仿宋"/>
          <w:sz w:val="28"/>
          <w:szCs w:val="28"/>
        </w:rPr>
      </w:pPr>
      <w:r>
        <w:rPr>
          <w:rFonts w:hint="eastAsia" w:ascii="仿宋" w:hAnsi="仿宋" w:eastAsia="仿宋" w:cs="仿宋"/>
          <w:b w:val="0"/>
          <w:sz w:val="24"/>
          <w:szCs w:val="24"/>
        </w:rPr>
        <w:t>附件1：</w:t>
      </w:r>
      <w:r>
        <w:rPr>
          <w:rFonts w:hint="eastAsia" w:ascii="仿宋" w:hAnsi="仿宋" w:eastAsia="仿宋" w:cs="仿宋"/>
          <w:b w:val="0"/>
          <w:sz w:val="24"/>
          <w:szCs w:val="24"/>
          <w:lang w:val="en-US" w:eastAsia="zh-CN"/>
        </w:rPr>
        <w:t>响应</w:t>
      </w:r>
      <w:r>
        <w:rPr>
          <w:rFonts w:hint="eastAsia" w:ascii="仿宋" w:hAnsi="仿宋" w:eastAsia="仿宋" w:cs="仿宋"/>
          <w:b w:val="0"/>
          <w:sz w:val="24"/>
          <w:szCs w:val="24"/>
        </w:rPr>
        <w:t>文件封面</w:t>
      </w:r>
    </w:p>
    <w:p w14:paraId="525C8991">
      <w:pPr>
        <w:widowControl/>
        <w:spacing w:line="440" w:lineRule="exact"/>
        <w:rPr>
          <w:rFonts w:hint="eastAsia" w:ascii="仿宋" w:hAnsi="仿宋" w:eastAsia="仿宋" w:cs="仿宋"/>
          <w:b/>
          <w:sz w:val="28"/>
          <w:szCs w:val="28"/>
        </w:rPr>
      </w:pPr>
    </w:p>
    <w:p w14:paraId="39DCE2F6">
      <w:pPr>
        <w:rPr>
          <w:rFonts w:hint="eastAsia" w:ascii="仿宋" w:hAnsi="仿宋" w:eastAsia="仿宋" w:cs="仿宋"/>
        </w:rPr>
      </w:pPr>
    </w:p>
    <w:p w14:paraId="7EE604D6">
      <w:pPr>
        <w:rPr>
          <w:rFonts w:hint="eastAsia" w:ascii="仿宋" w:hAnsi="仿宋" w:eastAsia="仿宋" w:cs="仿宋"/>
          <w:sz w:val="72"/>
          <w:szCs w:val="72"/>
        </w:rPr>
      </w:pPr>
    </w:p>
    <w:p w14:paraId="26606FE9">
      <w:pPr>
        <w:jc w:val="center"/>
        <w:rPr>
          <w:rFonts w:hint="eastAsia" w:ascii="仿宋" w:hAnsi="仿宋" w:eastAsia="仿宋" w:cs="仿宋"/>
          <w:b/>
          <w:sz w:val="48"/>
          <w:szCs w:val="48"/>
        </w:rPr>
      </w:pPr>
      <w:r>
        <w:rPr>
          <w:rFonts w:hint="eastAsia" w:ascii="仿宋" w:hAnsi="仿宋" w:eastAsia="仿宋" w:cs="仿宋"/>
          <w:b/>
          <w:sz w:val="48"/>
          <w:szCs w:val="48"/>
          <w:lang w:eastAsia="zh-CN"/>
        </w:rPr>
        <w:t>花城汇北中南三区及海心沙11宗欠费案件专项律师代理服务采购项目</w:t>
      </w:r>
    </w:p>
    <w:p w14:paraId="5426D434">
      <w:pPr>
        <w:jc w:val="center"/>
        <w:rPr>
          <w:rFonts w:hint="eastAsia" w:ascii="仿宋" w:hAnsi="仿宋" w:eastAsia="仿宋" w:cs="仿宋"/>
          <w:b/>
          <w:sz w:val="48"/>
          <w:szCs w:val="48"/>
        </w:rPr>
      </w:pPr>
    </w:p>
    <w:p w14:paraId="3B40248E">
      <w:pPr>
        <w:jc w:val="center"/>
        <w:rPr>
          <w:rFonts w:hint="eastAsia" w:ascii="仿宋" w:hAnsi="仿宋" w:eastAsia="仿宋" w:cs="仿宋"/>
          <w:b/>
          <w:sz w:val="90"/>
          <w:szCs w:val="90"/>
        </w:rPr>
      </w:pPr>
      <w:r>
        <w:rPr>
          <w:rFonts w:hint="eastAsia" w:ascii="仿宋" w:hAnsi="仿宋" w:eastAsia="仿宋" w:cs="仿宋"/>
          <w:b/>
          <w:sz w:val="90"/>
          <w:szCs w:val="90"/>
          <w:lang w:val="en-US" w:eastAsia="zh-CN"/>
        </w:rPr>
        <w:t>响应</w:t>
      </w:r>
      <w:r>
        <w:rPr>
          <w:rFonts w:hint="eastAsia" w:ascii="仿宋" w:hAnsi="仿宋" w:eastAsia="仿宋" w:cs="仿宋"/>
          <w:b/>
          <w:sz w:val="90"/>
          <w:szCs w:val="90"/>
        </w:rPr>
        <w:t>文件</w:t>
      </w:r>
    </w:p>
    <w:p w14:paraId="627566A2">
      <w:pPr>
        <w:widowControl w:val="0"/>
        <w:kinsoku/>
        <w:autoSpaceDE/>
        <w:autoSpaceDN/>
        <w:adjustRightInd/>
        <w:snapToGrid/>
        <w:spacing w:line="240" w:lineRule="auto"/>
        <w:jc w:val="center"/>
        <w:textAlignment w:val="auto"/>
        <w:rPr>
          <w:rFonts w:hint="default" w:ascii="宋体" w:hAnsi="宋体" w:eastAsia="宋体" w:cs="宋体"/>
          <w:b/>
          <w:snapToGrid/>
          <w:kern w:val="2"/>
          <w:sz w:val="52"/>
          <w:szCs w:val="52"/>
          <w:lang w:val="en-US" w:eastAsia="zh-CN"/>
        </w:rPr>
      </w:pPr>
      <w:r>
        <w:rPr>
          <w:rFonts w:hint="eastAsia" w:ascii="宋体" w:hAnsi="宋体" w:eastAsia="宋体" w:cs="宋体"/>
          <w:b/>
          <w:snapToGrid/>
          <w:kern w:val="2"/>
          <w:sz w:val="52"/>
          <w:szCs w:val="52"/>
          <w:lang w:eastAsia="zh-CN"/>
        </w:rPr>
        <w:t>（</w:t>
      </w:r>
      <w:r>
        <w:rPr>
          <w:rFonts w:hint="eastAsia" w:ascii="宋体" w:hAnsi="宋体" w:eastAsia="宋体" w:cs="宋体"/>
          <w:b/>
          <w:snapToGrid/>
          <w:kern w:val="2"/>
          <w:sz w:val="52"/>
          <w:szCs w:val="52"/>
          <w:lang w:val="en-US" w:eastAsia="zh-CN"/>
        </w:rPr>
        <w:t>正本/副本）</w:t>
      </w:r>
    </w:p>
    <w:p w14:paraId="2AFCA769">
      <w:pPr>
        <w:jc w:val="center"/>
        <w:rPr>
          <w:rFonts w:hint="eastAsia" w:ascii="仿宋" w:hAnsi="仿宋" w:eastAsia="仿宋" w:cs="仿宋"/>
          <w:sz w:val="72"/>
          <w:szCs w:val="72"/>
        </w:rPr>
      </w:pPr>
    </w:p>
    <w:p w14:paraId="5BAA5D65">
      <w:pPr>
        <w:jc w:val="center"/>
        <w:rPr>
          <w:rFonts w:hint="eastAsia" w:ascii="仿宋" w:hAnsi="仿宋" w:eastAsia="仿宋" w:cs="仿宋"/>
          <w:sz w:val="72"/>
          <w:szCs w:val="72"/>
        </w:rPr>
      </w:pPr>
    </w:p>
    <w:p w14:paraId="04AE9C6D">
      <w:pPr>
        <w:rPr>
          <w:rFonts w:hint="eastAsia" w:ascii="仿宋" w:hAnsi="仿宋" w:eastAsia="仿宋" w:cs="仿宋"/>
          <w:sz w:val="72"/>
          <w:szCs w:val="72"/>
        </w:rPr>
      </w:pPr>
    </w:p>
    <w:p w14:paraId="6836A19F">
      <w:pPr>
        <w:jc w:val="center"/>
        <w:rPr>
          <w:rFonts w:hint="eastAsia" w:ascii="仿宋" w:hAnsi="仿宋" w:eastAsia="仿宋" w:cs="仿宋"/>
          <w:sz w:val="72"/>
          <w:szCs w:val="72"/>
        </w:rPr>
      </w:pPr>
    </w:p>
    <w:p w14:paraId="19C225CB">
      <w:pPr>
        <w:ind w:firstLine="2560" w:firstLineChars="800"/>
        <w:rPr>
          <w:rFonts w:hint="eastAsia" w:ascii="仿宋" w:hAnsi="仿宋" w:eastAsia="仿宋" w:cs="仿宋"/>
          <w:sz w:val="32"/>
          <w:szCs w:val="32"/>
          <w:u w:val="single"/>
        </w:rPr>
      </w:pPr>
      <w:r>
        <w:rPr>
          <w:rFonts w:hint="eastAsia" w:ascii="仿宋" w:hAnsi="仿宋" w:eastAsia="仿宋" w:cs="仿宋"/>
          <w:sz w:val="32"/>
          <w:szCs w:val="32"/>
          <w:lang w:val="en-US" w:eastAsia="zh-CN"/>
        </w:rPr>
        <w:t>响应</w:t>
      </w:r>
      <w:r>
        <w:rPr>
          <w:rFonts w:hint="eastAsia" w:ascii="仿宋" w:hAnsi="仿宋" w:eastAsia="仿宋" w:cs="仿宋"/>
          <w:sz w:val="32"/>
          <w:szCs w:val="32"/>
        </w:rPr>
        <w:t>单位：</w:t>
      </w:r>
    </w:p>
    <w:p w14:paraId="4D0B37EA">
      <w:pPr>
        <w:ind w:firstLine="2560" w:firstLineChars="800"/>
        <w:rPr>
          <w:rFonts w:hint="eastAsia" w:ascii="仿宋" w:hAnsi="仿宋" w:eastAsia="仿宋" w:cs="仿宋"/>
          <w:sz w:val="32"/>
          <w:szCs w:val="32"/>
        </w:rPr>
      </w:pPr>
      <w:r>
        <w:rPr>
          <w:rFonts w:hint="eastAsia" w:ascii="仿宋" w:hAnsi="仿宋" w:eastAsia="仿宋" w:cs="仿宋"/>
          <w:sz w:val="32"/>
          <w:szCs w:val="32"/>
          <w:lang w:val="en-US" w:eastAsia="zh-CN"/>
        </w:rPr>
        <w:t>响应</w:t>
      </w:r>
      <w:r>
        <w:rPr>
          <w:rFonts w:hint="eastAsia" w:ascii="仿宋" w:hAnsi="仿宋" w:eastAsia="仿宋" w:cs="仿宋"/>
          <w:sz w:val="32"/>
          <w:szCs w:val="32"/>
        </w:rPr>
        <w:t>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  月  日</w:t>
      </w:r>
    </w:p>
    <w:p w14:paraId="68C69184">
      <w:pPr>
        <w:spacing w:line="348" w:lineRule="auto"/>
        <w:ind w:firstLine="280" w:firstLineChars="100"/>
        <w:rPr>
          <w:rFonts w:hint="eastAsia" w:ascii="宋体" w:hAnsi="宋体" w:cs="宋体"/>
          <w:sz w:val="28"/>
          <w:szCs w:val="28"/>
        </w:rPr>
      </w:pPr>
      <w:r>
        <w:rPr>
          <w:rFonts w:hint="eastAsia" w:ascii="仿宋" w:hAnsi="仿宋" w:eastAsia="仿宋" w:cs="仿宋"/>
          <w:b w:val="0"/>
          <w:sz w:val="28"/>
          <w:szCs w:val="28"/>
        </w:rPr>
        <w:br w:type="page"/>
      </w:r>
      <w:bookmarkStart w:id="10" w:name="_GoBack"/>
      <w:bookmarkEnd w:id="10"/>
      <w:r>
        <w:rPr>
          <w:rFonts w:hint="eastAsia" w:ascii="宋体" w:hAnsi="宋体" w:cs="宋体"/>
          <w:sz w:val="24"/>
        </w:rPr>
        <w:t>附件1：响应函</w:t>
      </w:r>
    </w:p>
    <w:p w14:paraId="028CF6B5">
      <w:pPr>
        <w:pStyle w:val="5"/>
        <w:spacing w:line="240" w:lineRule="auto"/>
        <w:jc w:val="center"/>
        <w:rPr>
          <w:rFonts w:hint="eastAsia" w:ascii="仿宋" w:hAnsi="仿宋" w:eastAsia="仿宋" w:cs="仿宋"/>
        </w:rPr>
      </w:pPr>
      <w:r>
        <w:rPr>
          <w:rFonts w:hint="eastAsia" w:ascii="宋体" w:hAnsi="宋体" w:eastAsia="宋体" w:cs="宋体"/>
          <w:sz w:val="30"/>
          <w:szCs w:val="30"/>
        </w:rPr>
        <w:t>响应函</w:t>
      </w:r>
    </w:p>
    <w:p w14:paraId="319BD3F7">
      <w:pPr>
        <w:spacing w:line="360" w:lineRule="auto"/>
        <w:rPr>
          <w:rFonts w:hint="eastAsia" w:ascii="仿宋" w:hAnsi="仿宋" w:eastAsia="仿宋" w:cs="仿宋"/>
          <w:b/>
          <w:bCs/>
          <w:sz w:val="24"/>
        </w:rPr>
      </w:pPr>
      <w:r>
        <w:rPr>
          <w:rFonts w:hint="eastAsia" w:ascii="仿宋" w:hAnsi="仿宋" w:eastAsia="仿宋" w:cs="仿宋"/>
          <w:b/>
          <w:bCs/>
          <w:sz w:val="24"/>
        </w:rPr>
        <w:t xml:space="preserve">致: </w:t>
      </w:r>
      <w:r>
        <w:rPr>
          <w:rFonts w:hint="eastAsia" w:ascii="仿宋" w:hAnsi="仿宋" w:eastAsia="仿宋" w:cs="仿宋"/>
          <w:b/>
          <w:bCs/>
          <w:color w:val="333333"/>
          <w:kern w:val="0"/>
          <w:sz w:val="24"/>
        </w:rPr>
        <w:t>广州市城投资产经营管理有限公司珠江新城分公司（采购人）</w:t>
      </w:r>
    </w:p>
    <w:p w14:paraId="261BB98A">
      <w:pPr>
        <w:widowControl w:val="0"/>
        <w:numPr>
          <w:ilvl w:val="0"/>
          <w:numId w:val="0"/>
        </w:numPr>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根据你方采购项目花城汇北中南三区及海心沙11宗欠费案件专项律师代理服务采购项目的比选采购文件要求，我方在此声明并同意：</w:t>
      </w:r>
    </w:p>
    <w:p w14:paraId="76584154">
      <w:pPr>
        <w:widowControl w:val="0"/>
        <w:numPr>
          <w:ilvl w:val="0"/>
          <w:numId w:val="6"/>
        </w:numPr>
        <w:kinsoku/>
        <w:autoSpaceDE/>
        <w:autoSpaceDN/>
        <w:adjustRightInd/>
        <w:snapToGrid/>
        <w:spacing w:line="360" w:lineRule="auto"/>
        <w:ind w:left="0" w:firstLine="425"/>
        <w:jc w:val="both"/>
        <w:textAlignment w:val="auto"/>
        <w:rPr>
          <w:rFonts w:hint="eastAsia" w:ascii="宋体" w:hAnsi="宋体" w:eastAsia="宋体" w:cs="宋体"/>
          <w:snapToGrid/>
          <w:kern w:val="2"/>
          <w:sz w:val="24"/>
          <w:szCs w:val="24"/>
          <w:lang w:eastAsia="zh-CN"/>
        </w:rPr>
      </w:pPr>
      <w:bookmarkStart w:id="6" w:name="_Toc234432974"/>
      <w:bookmarkStart w:id="7" w:name="_Toc334797769"/>
      <w:r>
        <w:rPr>
          <w:rFonts w:hint="eastAsia" w:ascii="宋体" w:hAnsi="宋体" w:eastAsia="宋体" w:cs="宋体"/>
          <w:snapToGrid/>
          <w:kern w:val="2"/>
          <w:sz w:val="24"/>
          <w:szCs w:val="24"/>
          <w:lang w:eastAsia="zh-CN"/>
        </w:rPr>
        <w:t>我方愿意遵守采购文件的各项规定，按采购文件的要求提供各项资料及报价。</w:t>
      </w:r>
    </w:p>
    <w:p w14:paraId="691D5272">
      <w:pPr>
        <w:widowControl w:val="0"/>
        <w:numPr>
          <w:ilvl w:val="0"/>
          <w:numId w:val="6"/>
        </w:numPr>
        <w:kinsoku/>
        <w:autoSpaceDE/>
        <w:autoSpaceDN/>
        <w:adjustRightInd/>
        <w:snapToGrid/>
        <w:spacing w:line="360" w:lineRule="auto"/>
        <w:ind w:left="0" w:firstLine="425"/>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我方已经详细地阅读了全部采购文件及附件，包括澄清及参考文件（如果有的话），我方完全清晰理解采购文件的要求，不存在任何含糊不清和误解之处，同意放弃对这些文件提出异议和质疑的权利。</w:t>
      </w:r>
    </w:p>
    <w:p w14:paraId="0739C3E6">
      <w:pPr>
        <w:widowControl w:val="0"/>
        <w:numPr>
          <w:ilvl w:val="0"/>
          <w:numId w:val="6"/>
        </w:numPr>
        <w:kinsoku/>
        <w:autoSpaceDE/>
        <w:autoSpaceDN/>
        <w:adjustRightInd/>
        <w:snapToGrid/>
        <w:spacing w:line="360" w:lineRule="auto"/>
        <w:ind w:left="0" w:firstLine="425"/>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我方完全接受该项目采购文件中的规定，并同意放弃对这规定提出异议和质疑的权利。</w:t>
      </w:r>
    </w:p>
    <w:p w14:paraId="0522F3D1">
      <w:pPr>
        <w:widowControl w:val="0"/>
        <w:numPr>
          <w:ilvl w:val="0"/>
          <w:numId w:val="6"/>
        </w:numPr>
        <w:kinsoku/>
        <w:autoSpaceDE/>
        <w:autoSpaceDN/>
        <w:adjustRightInd/>
        <w:snapToGrid/>
        <w:spacing w:line="360" w:lineRule="auto"/>
        <w:ind w:left="0" w:firstLine="425"/>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我方同意提供采购文件要求的有关响应的其它资料。</w:t>
      </w:r>
    </w:p>
    <w:p w14:paraId="2D40944B">
      <w:pPr>
        <w:widowControl w:val="0"/>
        <w:numPr>
          <w:ilvl w:val="0"/>
          <w:numId w:val="6"/>
        </w:numPr>
        <w:kinsoku/>
        <w:autoSpaceDE/>
        <w:autoSpaceDN/>
        <w:adjustRightInd/>
        <w:snapToGrid/>
        <w:spacing w:line="360" w:lineRule="auto"/>
        <w:ind w:left="0" w:firstLine="425"/>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我方承诺在本次响应提供的一切文件，无论是原件或是复印件均为真实和准确的，绝无任何虚假、伪造和夸大的成份。否则，我方愿意承担相应的后果和法律责任。</w:t>
      </w:r>
    </w:p>
    <w:p w14:paraId="2D0CC329">
      <w:pPr>
        <w:widowControl w:val="0"/>
        <w:numPr>
          <w:ilvl w:val="0"/>
          <w:numId w:val="6"/>
        </w:numPr>
        <w:kinsoku/>
        <w:autoSpaceDE/>
        <w:autoSpaceDN/>
        <w:adjustRightInd/>
        <w:snapToGrid/>
        <w:spacing w:line="360" w:lineRule="auto"/>
        <w:ind w:left="0" w:firstLine="425"/>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我方完全理解，采购人并无义务必须接受最低报价的响应或其它任何响应。</w:t>
      </w:r>
    </w:p>
    <w:p w14:paraId="30837C1E">
      <w:pPr>
        <w:widowControl w:val="0"/>
        <w:numPr>
          <w:ilvl w:val="0"/>
          <w:numId w:val="6"/>
        </w:numPr>
        <w:kinsoku/>
        <w:autoSpaceDE/>
        <w:autoSpaceDN/>
        <w:adjustRightInd/>
        <w:snapToGrid/>
        <w:spacing w:line="400" w:lineRule="exact"/>
        <w:ind w:left="0" w:firstLine="425"/>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与本公司法定代表/负责人或单位负责人为同一人或者与本公司存在控股、管理关系的其他单位包括：</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 xml:space="preserve"> 。（注：本条由竞投人如实填写，如有，应列出全部满足比选公告资格要求的相关单位的名称；如无，则填写“无”）。</w:t>
      </w:r>
    </w:p>
    <w:p w14:paraId="2FEA7227">
      <w:pPr>
        <w:widowControl w:val="0"/>
        <w:numPr>
          <w:ilvl w:val="0"/>
          <w:numId w:val="6"/>
        </w:numPr>
        <w:tabs>
          <w:tab w:val="clear" w:pos="425"/>
        </w:tabs>
        <w:kinsoku/>
        <w:autoSpaceDE/>
        <w:autoSpaceDN/>
        <w:adjustRightInd/>
        <w:snapToGrid/>
        <w:spacing w:line="360" w:lineRule="auto"/>
        <w:ind w:left="0" w:firstLine="420" w:firstLineChars="175"/>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如我方的响应条件被接受，我方同意按照采购文件相关规定签署合同。</w:t>
      </w:r>
    </w:p>
    <w:p w14:paraId="4FEB3851">
      <w:pPr>
        <w:widowControl w:val="0"/>
        <w:kinsoku/>
        <w:autoSpaceDE/>
        <w:autoSpaceDN/>
        <w:adjustRightInd/>
        <w:snapToGrid/>
        <w:spacing w:line="440" w:lineRule="exact"/>
        <w:jc w:val="both"/>
        <w:textAlignment w:val="auto"/>
        <w:rPr>
          <w:rFonts w:hint="eastAsia" w:ascii="宋体" w:hAnsi="宋体" w:eastAsia="宋体" w:cs="宋体"/>
          <w:bCs/>
          <w:snapToGrid/>
          <w:kern w:val="2"/>
          <w:sz w:val="24"/>
          <w:szCs w:val="24"/>
          <w:lang w:eastAsia="zh-CN"/>
        </w:rPr>
      </w:pPr>
    </w:p>
    <w:p w14:paraId="3C19CB21">
      <w:pPr>
        <w:widowControl w:val="0"/>
        <w:kinsoku/>
        <w:autoSpaceDE/>
        <w:autoSpaceDN/>
        <w:adjustRightInd/>
        <w:snapToGrid/>
        <w:spacing w:line="440" w:lineRule="exact"/>
        <w:jc w:val="both"/>
        <w:textAlignment w:val="auto"/>
        <w:rPr>
          <w:rFonts w:hint="eastAsia" w:ascii="宋体" w:hAnsi="宋体" w:eastAsia="宋体" w:cs="宋体"/>
          <w:bCs/>
          <w:snapToGrid/>
          <w:kern w:val="2"/>
          <w:sz w:val="24"/>
          <w:szCs w:val="24"/>
          <w:lang w:eastAsia="zh-CN"/>
        </w:rPr>
      </w:pPr>
    </w:p>
    <w:p w14:paraId="24714AE3">
      <w:pPr>
        <w:widowControl w:val="0"/>
        <w:kinsoku/>
        <w:autoSpaceDE/>
        <w:autoSpaceDN/>
        <w:adjustRightInd/>
        <w:snapToGrid/>
        <w:spacing w:line="440" w:lineRule="exact"/>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eastAsia="zh-CN"/>
        </w:rPr>
        <w:t>竞投人全称（加盖公章）:</w:t>
      </w:r>
    </w:p>
    <w:p w14:paraId="0183FC04">
      <w:pPr>
        <w:widowControl w:val="0"/>
        <w:tabs>
          <w:tab w:val="left" w:pos="3600"/>
        </w:tabs>
        <w:kinsoku/>
        <w:autoSpaceDE/>
        <w:autoSpaceDN/>
        <w:adjustRightInd/>
        <w:snapToGrid/>
        <w:spacing w:line="440" w:lineRule="exact"/>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eastAsia="zh-CN"/>
        </w:rPr>
        <w:t>法定代表人</w:t>
      </w:r>
      <w:r>
        <w:rPr>
          <w:rFonts w:hint="eastAsia" w:ascii="宋体" w:hAnsi="宋体" w:eastAsia="宋体" w:cs="宋体"/>
          <w:snapToGrid/>
          <w:color w:val="000000"/>
          <w:kern w:val="2"/>
          <w:szCs w:val="21"/>
          <w:lang w:eastAsia="zh-CN"/>
        </w:rPr>
        <w:t>（或负责人）</w:t>
      </w:r>
      <w:r>
        <w:rPr>
          <w:rFonts w:hint="eastAsia" w:ascii="宋体" w:hAnsi="宋体" w:eastAsia="宋体" w:cs="宋体"/>
          <w:bCs/>
          <w:snapToGrid/>
          <w:kern w:val="2"/>
          <w:sz w:val="24"/>
          <w:szCs w:val="24"/>
          <w:lang w:eastAsia="zh-CN"/>
        </w:rPr>
        <w:t>或其竞投人授权代表(</w:t>
      </w:r>
      <w:r>
        <w:rPr>
          <w:rFonts w:hint="eastAsia" w:ascii="宋体" w:hAnsi="宋体" w:eastAsia="宋体" w:cs="宋体"/>
          <w:snapToGrid/>
          <w:kern w:val="2"/>
          <w:sz w:val="24"/>
          <w:szCs w:val="24"/>
          <w:lang w:eastAsia="zh-CN"/>
        </w:rPr>
        <w:t>签字</w:t>
      </w:r>
      <w:r>
        <w:rPr>
          <w:rFonts w:hint="eastAsia" w:ascii="宋体" w:hAnsi="宋体" w:eastAsia="宋体" w:cs="宋体"/>
          <w:bCs/>
          <w:snapToGrid/>
          <w:kern w:val="2"/>
          <w:sz w:val="24"/>
          <w:szCs w:val="24"/>
          <w:lang w:eastAsia="zh-CN"/>
        </w:rPr>
        <w:t>)：</w:t>
      </w:r>
    </w:p>
    <w:p w14:paraId="725D19A7">
      <w:pPr>
        <w:widowControl w:val="0"/>
        <w:kinsoku/>
        <w:autoSpaceDE/>
        <w:autoSpaceDN/>
        <w:adjustRightInd/>
        <w:snapToGrid/>
        <w:spacing w:before="120" w:after="120" w:line="440" w:lineRule="exact"/>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eastAsia="zh-CN"/>
        </w:rPr>
        <w:t>日    期：         年      月     日</w:t>
      </w:r>
    </w:p>
    <w:p w14:paraId="62AD0AF1">
      <w:pPr>
        <w:spacing w:before="120" w:after="120" w:line="440" w:lineRule="exact"/>
        <w:rPr>
          <w:rFonts w:hint="eastAsia" w:ascii="仿宋" w:hAnsi="仿宋" w:eastAsia="仿宋" w:cs="仿宋"/>
          <w:b w:val="0"/>
          <w:sz w:val="24"/>
          <w:szCs w:val="24"/>
        </w:rPr>
      </w:pPr>
    </w:p>
    <w:p w14:paraId="0226F0A2">
      <w:pPr>
        <w:spacing w:before="120" w:after="120" w:line="440" w:lineRule="exact"/>
        <w:rPr>
          <w:rFonts w:hint="eastAsia" w:ascii="仿宋" w:hAnsi="仿宋" w:eastAsia="仿宋" w:cs="仿宋"/>
          <w:b w:val="0"/>
          <w:sz w:val="24"/>
          <w:szCs w:val="24"/>
        </w:rPr>
      </w:pPr>
    </w:p>
    <w:p w14:paraId="37B20B17">
      <w:pPr>
        <w:spacing w:before="120" w:after="120" w:line="440" w:lineRule="exact"/>
        <w:rPr>
          <w:rFonts w:hint="eastAsia" w:ascii="仿宋" w:hAnsi="仿宋" w:eastAsia="仿宋" w:cs="仿宋"/>
          <w:b w:val="0"/>
          <w:sz w:val="24"/>
          <w:szCs w:val="24"/>
        </w:rPr>
      </w:pPr>
    </w:p>
    <w:p w14:paraId="592B4CC8">
      <w:pPr>
        <w:spacing w:before="120" w:after="120" w:line="440" w:lineRule="exact"/>
        <w:rPr>
          <w:rFonts w:hint="eastAsia" w:ascii="仿宋" w:hAnsi="仿宋" w:eastAsia="仿宋" w:cs="仿宋"/>
          <w:b w:val="0"/>
          <w:sz w:val="24"/>
          <w:szCs w:val="24"/>
        </w:rPr>
      </w:pPr>
    </w:p>
    <w:p w14:paraId="0369DC7C">
      <w:pPr>
        <w:spacing w:before="120" w:after="120" w:line="440" w:lineRule="exact"/>
        <w:rPr>
          <w:rFonts w:hint="eastAsia" w:ascii="仿宋" w:hAnsi="仿宋" w:eastAsia="仿宋" w:cs="仿宋"/>
          <w:b w:val="0"/>
          <w:sz w:val="24"/>
          <w:szCs w:val="24"/>
        </w:rPr>
      </w:pPr>
    </w:p>
    <w:p w14:paraId="5A9493B2">
      <w:pPr>
        <w:spacing w:line="348" w:lineRule="auto"/>
        <w:ind w:firstLine="240" w:firstLineChars="100"/>
        <w:rPr>
          <w:rFonts w:hint="eastAsia" w:ascii="宋体" w:hAnsi="宋体" w:cs="宋体"/>
          <w:sz w:val="24"/>
        </w:rPr>
      </w:pPr>
      <w:r>
        <w:rPr>
          <w:rFonts w:hint="eastAsia" w:ascii="宋体" w:hAnsi="宋体" w:cs="宋体"/>
          <w:sz w:val="24"/>
        </w:rPr>
        <w:t>附件</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律师事务所负责人</w:t>
      </w:r>
      <w:r>
        <w:rPr>
          <w:rFonts w:hint="eastAsia" w:ascii="宋体" w:hAnsi="宋体" w:cs="宋体"/>
          <w:sz w:val="24"/>
        </w:rPr>
        <w:t>证明及授权书[格式]</w:t>
      </w:r>
    </w:p>
    <w:bookmarkEnd w:id="6"/>
    <w:bookmarkEnd w:id="7"/>
    <w:p w14:paraId="2E528FE1">
      <w:pPr>
        <w:rPr>
          <w:rFonts w:hint="eastAsia" w:ascii="仿宋" w:hAnsi="仿宋" w:eastAsia="仿宋" w:cs="仿宋"/>
          <w:lang w:val="en-US" w:eastAsia="zh-CN"/>
        </w:rPr>
      </w:pPr>
      <w:bookmarkStart w:id="8" w:name="_Toc334797771"/>
      <w:bookmarkStart w:id="9" w:name="_Toc334797770"/>
    </w:p>
    <w:p w14:paraId="1336FAE1">
      <w:pPr>
        <w:rPr>
          <w:rFonts w:hint="eastAsia" w:ascii="仿宋" w:hAnsi="仿宋" w:eastAsia="仿宋" w:cs="仿宋"/>
          <w:lang w:val="en-US" w:eastAsia="zh-CN"/>
        </w:rPr>
      </w:pPr>
    </w:p>
    <w:p w14:paraId="4889538D">
      <w:pPr>
        <w:pStyle w:val="5"/>
        <w:jc w:val="center"/>
        <w:rPr>
          <w:rFonts w:hint="eastAsia" w:ascii="仿宋" w:hAnsi="仿宋" w:eastAsia="仿宋" w:cs="仿宋"/>
          <w:b w:val="0"/>
          <w:bCs w:val="0"/>
          <w:color w:val="000000"/>
        </w:rPr>
      </w:pPr>
      <w:r>
        <w:rPr>
          <w:rFonts w:hint="eastAsia" w:ascii="仿宋" w:hAnsi="仿宋" w:eastAsia="仿宋" w:cs="仿宋"/>
          <w:lang w:val="en-US" w:eastAsia="zh-CN"/>
        </w:rPr>
        <w:t>负责人</w:t>
      </w:r>
      <w:r>
        <w:rPr>
          <w:rFonts w:hint="eastAsia" w:ascii="仿宋" w:hAnsi="仿宋" w:eastAsia="仿宋" w:cs="仿宋"/>
        </w:rPr>
        <w:t>证明及授权书</w:t>
      </w:r>
    </w:p>
    <w:p w14:paraId="784312E6">
      <w:pPr>
        <w:pStyle w:val="10"/>
        <w:spacing w:line="30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致:</w:t>
      </w:r>
      <w:r>
        <w:rPr>
          <w:rFonts w:hint="eastAsia" w:asciiTheme="minorEastAsia" w:hAnsiTheme="minorEastAsia" w:eastAsiaTheme="minorEastAsia" w:cstheme="minorEastAsia"/>
          <w:color w:val="333333"/>
          <w:kern w:val="0"/>
          <w:sz w:val="24"/>
          <w:szCs w:val="24"/>
        </w:rPr>
        <w:t xml:space="preserve"> </w:t>
      </w:r>
      <w:r>
        <w:rPr>
          <w:rFonts w:hint="eastAsia" w:asciiTheme="minorEastAsia" w:hAnsiTheme="minorEastAsia" w:eastAsiaTheme="minorEastAsia" w:cstheme="minorEastAsia"/>
          <w:bCs/>
          <w:color w:val="333333"/>
          <w:kern w:val="0"/>
          <w:sz w:val="24"/>
          <w:szCs w:val="24"/>
        </w:rPr>
        <w:t>广州市城投资产经营管理有限公司珠江新城分公司</w:t>
      </w:r>
      <w:r>
        <w:rPr>
          <w:rFonts w:hint="eastAsia" w:asciiTheme="minorEastAsia" w:hAnsiTheme="minorEastAsia" w:eastAsiaTheme="minorEastAsia" w:cstheme="minorEastAsia"/>
          <w:color w:val="000000"/>
          <w:sz w:val="24"/>
          <w:szCs w:val="24"/>
        </w:rPr>
        <w:tab/>
      </w:r>
    </w:p>
    <w:p w14:paraId="7A84A03C">
      <w:pPr>
        <w:pStyle w:val="10"/>
        <w:spacing w:line="300" w:lineRule="auto"/>
        <w:ind w:firstLine="480" w:firstLineChars="200"/>
        <w:rPr>
          <w:rFonts w:hint="eastAsia" w:asciiTheme="minorEastAsia" w:hAnsiTheme="minorEastAsia" w:eastAsiaTheme="minorEastAsia" w:cstheme="minorEastAsia"/>
          <w:color w:val="000000"/>
          <w:sz w:val="24"/>
          <w:szCs w:val="24"/>
        </w:rPr>
      </w:pPr>
    </w:p>
    <w:p w14:paraId="0B01CCED">
      <w:pPr>
        <w:pStyle w:val="10"/>
        <w:spacing w:line="30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本授权证明：</w:t>
      </w:r>
      <w:r>
        <w:rPr>
          <w:rFonts w:hint="eastAsia" w:asciiTheme="minorEastAsia" w:hAnsiTheme="minorEastAsia" w:eastAsiaTheme="minorEastAsia" w:cstheme="minorEastAsia"/>
          <w:i/>
          <w:color w:val="000000"/>
          <w:sz w:val="24"/>
          <w:szCs w:val="24"/>
          <w:u w:val="single"/>
        </w:rPr>
        <w:t xml:space="preserve">              </w:t>
      </w:r>
      <w:r>
        <w:rPr>
          <w:rFonts w:hint="eastAsia" w:asciiTheme="minorEastAsia" w:hAnsiTheme="minorEastAsia" w:eastAsiaTheme="minorEastAsia" w:cstheme="minorEastAsia"/>
          <w:color w:val="000000"/>
          <w:sz w:val="24"/>
          <w:szCs w:val="24"/>
        </w:rPr>
        <w:t>（姓名）是注册于</w:t>
      </w:r>
      <w:r>
        <w:rPr>
          <w:rFonts w:hint="eastAsia" w:asciiTheme="minorEastAsia" w:hAnsiTheme="minorEastAsia" w:eastAsiaTheme="minorEastAsia" w:cstheme="minorEastAsia"/>
          <w:i/>
          <w:color w:val="000000"/>
          <w:sz w:val="24"/>
          <w:szCs w:val="24"/>
          <w:u w:val="single"/>
        </w:rPr>
        <w:t xml:space="preserve">              </w:t>
      </w:r>
      <w:r>
        <w:rPr>
          <w:rFonts w:hint="eastAsia" w:asciiTheme="minorEastAsia" w:hAnsiTheme="minorEastAsia" w:eastAsiaTheme="minorEastAsia" w:cstheme="minorEastAsia"/>
          <w:color w:val="000000"/>
          <w:sz w:val="24"/>
          <w:szCs w:val="24"/>
        </w:rPr>
        <w:t>（地点）的</w:t>
      </w:r>
      <w:r>
        <w:rPr>
          <w:rFonts w:hint="eastAsia" w:asciiTheme="minorEastAsia" w:hAnsiTheme="minorEastAsia" w:eastAsiaTheme="minorEastAsia" w:cstheme="minorEastAsia"/>
          <w:i/>
          <w:color w:val="000000"/>
          <w:sz w:val="24"/>
          <w:szCs w:val="24"/>
          <w:u w:val="single"/>
        </w:rPr>
        <w:t xml:space="preserve">        </w:t>
      </w:r>
      <w:r>
        <w:rPr>
          <w:rFonts w:hint="eastAsia" w:asciiTheme="minorEastAsia" w:hAnsiTheme="minorEastAsia" w:eastAsiaTheme="minorEastAsia" w:cstheme="minorEastAsia"/>
          <w:i w:val="0"/>
          <w:iCs/>
          <w:color w:val="000000"/>
          <w:sz w:val="24"/>
          <w:szCs w:val="24"/>
          <w:u w:val="none"/>
          <w:lang w:eastAsia="zh-CN"/>
        </w:rPr>
        <w:t>（</w:t>
      </w:r>
      <w:r>
        <w:rPr>
          <w:rFonts w:hint="eastAsia" w:asciiTheme="minorEastAsia" w:hAnsiTheme="minorEastAsia" w:eastAsiaTheme="minorEastAsia" w:cstheme="minorEastAsia"/>
          <w:i w:val="0"/>
          <w:iCs/>
          <w:color w:val="000000"/>
          <w:sz w:val="24"/>
          <w:szCs w:val="24"/>
          <w:u w:val="none"/>
          <w:lang w:val="en-US" w:eastAsia="zh-CN"/>
        </w:rPr>
        <w:t>律所</w:t>
      </w:r>
      <w:r>
        <w:rPr>
          <w:rFonts w:hint="eastAsia" w:asciiTheme="minorEastAsia" w:hAnsiTheme="minorEastAsia" w:eastAsiaTheme="minorEastAsia" w:cstheme="minorEastAsia"/>
          <w:i w:val="0"/>
          <w:iCs/>
          <w:color w:val="000000"/>
          <w:sz w:val="24"/>
          <w:szCs w:val="24"/>
          <w:u w:val="none"/>
          <w:lang w:eastAsia="zh-CN"/>
        </w:rPr>
        <w:t>）</w:t>
      </w:r>
      <w:r>
        <w:rPr>
          <w:rFonts w:hint="eastAsia" w:asciiTheme="minorEastAsia" w:hAnsiTheme="minorEastAsia" w:eastAsiaTheme="minorEastAsia" w:cstheme="minorEastAsia"/>
          <w:i w:val="0"/>
          <w:iCs/>
          <w:color w:val="000000"/>
          <w:sz w:val="24"/>
          <w:szCs w:val="24"/>
          <w:u w:val="none"/>
          <w:lang w:val="en-US" w:eastAsia="zh-CN"/>
        </w:rPr>
        <w:t>负责人</w:t>
      </w:r>
      <w:r>
        <w:rPr>
          <w:rFonts w:hint="eastAsia" w:asciiTheme="minorEastAsia" w:hAnsiTheme="minorEastAsia" w:eastAsiaTheme="minorEastAsia" w:cstheme="minorEastAsia"/>
          <w:color w:val="000000"/>
          <w:sz w:val="24"/>
          <w:szCs w:val="24"/>
        </w:rPr>
        <w:t>，现任</w:t>
      </w:r>
      <w:r>
        <w:rPr>
          <w:rFonts w:hint="eastAsia" w:asciiTheme="minorEastAsia" w:hAnsiTheme="minorEastAsia" w:eastAsiaTheme="minorEastAsia" w:cstheme="minorEastAsia"/>
          <w:i/>
          <w:color w:val="000000"/>
          <w:sz w:val="24"/>
          <w:szCs w:val="24"/>
          <w:u w:val="single"/>
        </w:rPr>
        <w:t xml:space="preserve">         </w:t>
      </w:r>
      <w:r>
        <w:rPr>
          <w:rFonts w:hint="eastAsia" w:asciiTheme="minorEastAsia" w:hAnsiTheme="minorEastAsia" w:eastAsiaTheme="minorEastAsia" w:cstheme="minorEastAsia"/>
          <w:color w:val="000000"/>
          <w:sz w:val="24"/>
          <w:szCs w:val="24"/>
        </w:rPr>
        <w:t>。在此授权</w:t>
      </w:r>
      <w:r>
        <w:rPr>
          <w:rFonts w:hint="eastAsia" w:asciiTheme="minorEastAsia" w:hAnsiTheme="minorEastAsia" w:eastAsiaTheme="minorEastAsia" w:cstheme="minorEastAsia"/>
          <w:i/>
          <w:color w:val="000000"/>
          <w:sz w:val="24"/>
          <w:szCs w:val="24"/>
          <w:u w:val="single"/>
        </w:rPr>
        <w:t xml:space="preserve">                 </w:t>
      </w:r>
      <w:r>
        <w:rPr>
          <w:rFonts w:hint="eastAsia" w:asciiTheme="minorEastAsia" w:hAnsiTheme="minorEastAsia" w:eastAsiaTheme="minorEastAsia" w:cstheme="minorEastAsia"/>
          <w:color w:val="000000"/>
          <w:sz w:val="24"/>
          <w:szCs w:val="24"/>
        </w:rPr>
        <w:t>作为我</w:t>
      </w:r>
      <w:r>
        <w:rPr>
          <w:rFonts w:hint="eastAsia" w:asciiTheme="minorEastAsia" w:hAnsiTheme="minorEastAsia" w:eastAsiaTheme="minorEastAsia" w:cstheme="minorEastAsia"/>
          <w:color w:val="000000"/>
          <w:sz w:val="24"/>
          <w:szCs w:val="24"/>
          <w:lang w:val="en-US" w:eastAsia="zh-CN"/>
        </w:rPr>
        <w:t>所</w:t>
      </w:r>
      <w:r>
        <w:rPr>
          <w:rFonts w:hint="eastAsia" w:asciiTheme="minorEastAsia" w:hAnsiTheme="minorEastAsia" w:eastAsiaTheme="minorEastAsia" w:cstheme="minorEastAsia"/>
          <w:color w:val="000000"/>
          <w:sz w:val="24"/>
          <w:szCs w:val="24"/>
        </w:rPr>
        <w:t>的全权代理人，在</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none"/>
        </w:rPr>
        <w:t>项目</w:t>
      </w:r>
      <w:r>
        <w:rPr>
          <w:rFonts w:hint="eastAsia" w:asciiTheme="minorEastAsia" w:hAnsiTheme="minorEastAsia" w:eastAsiaTheme="minorEastAsia" w:cstheme="minorEastAsia"/>
          <w:color w:val="000000"/>
          <w:sz w:val="24"/>
          <w:szCs w:val="24"/>
        </w:rPr>
        <w:t>的</w:t>
      </w:r>
      <w:r>
        <w:rPr>
          <w:rFonts w:hint="eastAsia" w:asciiTheme="minorEastAsia" w:hAnsiTheme="minorEastAsia" w:eastAsiaTheme="minorEastAsia" w:cstheme="minorEastAsia"/>
          <w:color w:val="000000"/>
          <w:sz w:val="24"/>
          <w:szCs w:val="24"/>
          <w:lang w:eastAsia="zh-CN"/>
        </w:rPr>
        <w:t>比选</w:t>
      </w:r>
      <w:r>
        <w:rPr>
          <w:rFonts w:hint="eastAsia" w:asciiTheme="minorEastAsia" w:hAnsiTheme="minorEastAsia" w:eastAsiaTheme="minorEastAsia" w:cstheme="minorEastAsia"/>
          <w:color w:val="000000"/>
          <w:sz w:val="24"/>
          <w:szCs w:val="24"/>
        </w:rPr>
        <w:t>及其合同执行过程中，以</w:t>
      </w:r>
      <w:r>
        <w:rPr>
          <w:rFonts w:hint="eastAsia" w:asciiTheme="minorEastAsia" w:hAnsiTheme="minorEastAsia" w:eastAsiaTheme="minorEastAsia" w:cstheme="minorEastAsia"/>
          <w:color w:val="000000"/>
          <w:sz w:val="24"/>
          <w:szCs w:val="24"/>
          <w:lang w:val="en-US" w:eastAsia="zh-CN"/>
        </w:rPr>
        <w:t>我所</w:t>
      </w:r>
      <w:r>
        <w:rPr>
          <w:rFonts w:hint="eastAsia" w:asciiTheme="minorEastAsia" w:hAnsiTheme="minorEastAsia" w:eastAsiaTheme="minorEastAsia" w:cstheme="minorEastAsia"/>
          <w:color w:val="000000"/>
          <w:sz w:val="24"/>
          <w:szCs w:val="24"/>
        </w:rPr>
        <w:t>的名义处理一切与之有关的事务。</w:t>
      </w:r>
    </w:p>
    <w:p w14:paraId="5BBCDD6F">
      <w:pPr>
        <w:spacing w:line="30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本授权书于</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日起签字生效，特此声明。</w:t>
      </w:r>
    </w:p>
    <w:p w14:paraId="5B8E572D">
      <w:pPr>
        <w:spacing w:line="300" w:lineRule="auto"/>
        <w:ind w:firstLine="120" w:firstLineChars="50"/>
        <w:rPr>
          <w:rFonts w:hint="eastAsia" w:asciiTheme="minorEastAsia" w:hAnsiTheme="minorEastAsia" w:eastAsiaTheme="minorEastAsia" w:cstheme="minorEastAsia"/>
          <w:color w:val="000000"/>
          <w:sz w:val="24"/>
        </w:rPr>
      </w:pPr>
    </w:p>
    <w:p w14:paraId="4BC85D85">
      <w:pPr>
        <w:spacing w:line="300" w:lineRule="auto"/>
        <w:ind w:firstLine="120" w:firstLineChars="50"/>
        <w:rPr>
          <w:rFonts w:hint="eastAsia" w:asciiTheme="minorEastAsia" w:hAnsiTheme="minorEastAsia" w:eastAsiaTheme="minorEastAsia" w:cstheme="minorEastAsia"/>
          <w:color w:val="000000"/>
          <w:sz w:val="24"/>
        </w:rPr>
      </w:pPr>
    </w:p>
    <w:p w14:paraId="296DDA55">
      <w:pPr>
        <w:spacing w:line="300" w:lineRule="auto"/>
        <w:ind w:firstLine="120" w:firstLineChars="50"/>
        <w:rPr>
          <w:rFonts w:hint="eastAsia" w:asciiTheme="minorEastAsia" w:hAnsiTheme="minorEastAsia" w:eastAsiaTheme="minorEastAsia" w:cstheme="minorEastAsia"/>
          <w:color w:val="000000"/>
          <w:sz w:val="24"/>
        </w:rPr>
      </w:pPr>
    </w:p>
    <w:p w14:paraId="1862CF76">
      <w:pPr>
        <w:spacing w:line="300" w:lineRule="auto"/>
        <w:ind w:firstLine="120" w:firstLineChars="50"/>
        <w:rPr>
          <w:rFonts w:hint="eastAsia" w:asciiTheme="minorEastAsia" w:hAnsiTheme="minorEastAsia" w:eastAsiaTheme="minorEastAsia" w:cstheme="minorEastAsia"/>
          <w:color w:val="000000"/>
          <w:sz w:val="24"/>
        </w:rPr>
      </w:pPr>
    </w:p>
    <w:p w14:paraId="0C2861A6">
      <w:pPr>
        <w:spacing w:line="300" w:lineRule="auto"/>
        <w:ind w:firstLine="120" w:firstLineChars="50"/>
        <w:rPr>
          <w:rFonts w:hint="eastAsia" w:asciiTheme="minorEastAsia" w:hAnsiTheme="minorEastAsia" w:eastAsiaTheme="minorEastAsia" w:cstheme="minorEastAsia"/>
          <w:color w:val="000000"/>
          <w:sz w:val="24"/>
        </w:rPr>
      </w:pPr>
    </w:p>
    <w:p w14:paraId="1DB84EA2">
      <w:pPr>
        <w:spacing w:line="300" w:lineRule="auto"/>
        <w:ind w:firstLine="120" w:firstLineChars="50"/>
        <w:rPr>
          <w:rFonts w:hint="eastAsia" w:asciiTheme="minorEastAsia" w:hAnsiTheme="minorEastAsia" w:eastAsiaTheme="minorEastAsia" w:cstheme="minorEastAsia"/>
          <w:color w:val="000000"/>
          <w:sz w:val="24"/>
        </w:rPr>
      </w:pPr>
    </w:p>
    <w:p w14:paraId="59218ADF">
      <w:pPr>
        <w:spacing w:line="300" w:lineRule="auto"/>
        <w:ind w:firstLine="120" w:firstLineChars="50"/>
        <w:rPr>
          <w:rFonts w:hint="eastAsia" w:asciiTheme="minorEastAsia" w:hAnsiTheme="minorEastAsia" w:eastAsiaTheme="minorEastAsia" w:cstheme="minorEastAsia"/>
          <w:color w:val="000000"/>
          <w:sz w:val="24"/>
        </w:rPr>
      </w:pPr>
    </w:p>
    <w:p w14:paraId="69E57C0E">
      <w:pPr>
        <w:spacing w:line="300" w:lineRule="auto"/>
        <w:ind w:firstLine="120" w:firstLineChars="5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竞投人全称（公章）：                   </w:t>
      </w:r>
    </w:p>
    <w:p w14:paraId="17FE25B9">
      <w:pPr>
        <w:spacing w:line="300" w:lineRule="auto"/>
        <w:ind w:firstLine="120" w:firstLineChars="50"/>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color w:val="000000"/>
          <w:sz w:val="24"/>
          <w:lang w:val="en-US" w:eastAsia="zh-CN"/>
        </w:rPr>
        <w:t>负责</w:t>
      </w:r>
      <w:r>
        <w:rPr>
          <w:rFonts w:hint="eastAsia" w:asciiTheme="minorEastAsia" w:hAnsiTheme="minorEastAsia" w:eastAsiaTheme="minorEastAsia" w:cstheme="minorEastAsia"/>
          <w:color w:val="000000"/>
          <w:sz w:val="24"/>
        </w:rPr>
        <w:t>人</w:t>
      </w:r>
      <w:r>
        <w:rPr>
          <w:rFonts w:hint="eastAsia" w:asciiTheme="minorEastAsia" w:hAnsiTheme="minorEastAsia" w:eastAsiaTheme="minorEastAsia" w:cstheme="minorEastAsia"/>
          <w:b w:val="0"/>
          <w:bCs w:val="0"/>
          <w:color w:val="000000"/>
          <w:sz w:val="24"/>
        </w:rPr>
        <w:t xml:space="preserve">（签字）：        </w:t>
      </w:r>
    </w:p>
    <w:p w14:paraId="43830EC2">
      <w:pPr>
        <w:spacing w:line="300" w:lineRule="auto"/>
        <w:ind w:firstLine="120" w:firstLineChars="5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val="0"/>
          <w:bCs w:val="0"/>
          <w:color w:val="000000"/>
          <w:sz w:val="24"/>
        </w:rPr>
        <w:t>被授权人(竞投人授权代表)（签字）</w:t>
      </w:r>
      <w:r>
        <w:rPr>
          <w:rFonts w:hint="eastAsia" w:asciiTheme="minorEastAsia" w:hAnsiTheme="minorEastAsia" w:eastAsiaTheme="minorEastAsia" w:cstheme="minorEastAsia"/>
          <w:color w:val="000000"/>
          <w:sz w:val="24"/>
        </w:rPr>
        <w:t>：</w:t>
      </w:r>
    </w:p>
    <w:p w14:paraId="1183D149">
      <w:pPr>
        <w:spacing w:line="300" w:lineRule="auto"/>
        <w:ind w:firstLine="105" w:firstLineChars="50"/>
        <w:rPr>
          <w:rFonts w:hint="eastAsia" w:ascii="仿宋" w:hAnsi="仿宋" w:eastAsia="仿宋" w:cs="仿宋"/>
          <w:color w:val="000000"/>
          <w:szCs w:val="21"/>
        </w:rPr>
      </w:pPr>
    </w:p>
    <w:p w14:paraId="6C5F2EC4">
      <w:pPr>
        <w:widowControl w:val="0"/>
        <w:kinsoku/>
        <w:autoSpaceDE/>
        <w:autoSpaceDN/>
        <w:adjustRightInd/>
        <w:snapToGrid/>
        <w:spacing w:line="360" w:lineRule="auto"/>
        <w:ind w:firstLine="120" w:firstLineChars="5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法定代表人</w:t>
      </w:r>
      <w:r>
        <w:rPr>
          <w:rFonts w:hint="eastAsia" w:ascii="宋体" w:hAnsi="宋体" w:eastAsia="宋体" w:cs="宋体"/>
          <w:snapToGrid/>
          <w:color w:val="000000"/>
          <w:kern w:val="2"/>
          <w:szCs w:val="21"/>
          <w:lang w:eastAsia="zh-CN"/>
        </w:rPr>
        <w:t>（或负责人）</w:t>
      </w:r>
      <w:r>
        <w:rPr>
          <w:rFonts w:hint="eastAsia" w:ascii="宋体" w:hAnsi="宋体" w:eastAsia="宋体" w:cs="宋体"/>
          <w:snapToGrid/>
          <w:color w:val="000000"/>
          <w:kern w:val="2"/>
          <w:sz w:val="24"/>
          <w:szCs w:val="24"/>
          <w:lang w:eastAsia="zh-CN"/>
        </w:rPr>
        <w:t>及被授权人身份证复印件（正反面）：</w:t>
      </w:r>
    </w:p>
    <w:p w14:paraId="740BE150">
      <w:pPr>
        <w:spacing w:line="300" w:lineRule="auto"/>
        <w:ind w:firstLine="105" w:firstLineChars="50"/>
        <w:rPr>
          <w:rFonts w:hint="eastAsia" w:ascii="仿宋" w:hAnsi="仿宋" w:eastAsia="仿宋" w:cs="仿宋"/>
          <w:color w:val="000000"/>
          <w:szCs w:val="21"/>
        </w:rPr>
      </w:pPr>
    </w:p>
    <w:p w14:paraId="7065894D">
      <w:pPr>
        <w:spacing w:line="300" w:lineRule="auto"/>
        <w:ind w:firstLine="105" w:firstLineChars="50"/>
        <w:rPr>
          <w:rFonts w:hint="eastAsia" w:ascii="仿宋" w:hAnsi="仿宋" w:eastAsia="仿宋" w:cs="仿宋"/>
          <w:color w:val="000000"/>
          <w:szCs w:val="21"/>
        </w:rPr>
      </w:pPr>
    </w:p>
    <w:p w14:paraId="108C6010">
      <w:pPr>
        <w:pStyle w:val="5"/>
        <w:rPr>
          <w:rFonts w:hint="eastAsia" w:ascii="仿宋" w:hAnsi="仿宋" w:eastAsia="仿宋" w:cs="仿宋"/>
          <w:b w:val="0"/>
          <w:sz w:val="24"/>
          <w:szCs w:val="24"/>
        </w:rPr>
      </w:pPr>
    </w:p>
    <w:p w14:paraId="3D90921C">
      <w:pPr>
        <w:rPr>
          <w:rFonts w:hint="eastAsia" w:ascii="仿宋" w:hAnsi="仿宋" w:eastAsia="仿宋" w:cs="仿宋"/>
          <w:b w:val="0"/>
          <w:sz w:val="24"/>
          <w:szCs w:val="24"/>
        </w:rPr>
      </w:pPr>
    </w:p>
    <w:p w14:paraId="0D19E29D">
      <w:pPr>
        <w:rPr>
          <w:rFonts w:hint="eastAsia" w:ascii="仿宋" w:hAnsi="仿宋" w:eastAsia="仿宋" w:cs="仿宋"/>
          <w:b w:val="0"/>
          <w:sz w:val="24"/>
          <w:szCs w:val="24"/>
        </w:rPr>
      </w:pPr>
    </w:p>
    <w:p w14:paraId="2484E818">
      <w:pPr>
        <w:rPr>
          <w:rFonts w:hint="eastAsia" w:ascii="仿宋" w:hAnsi="仿宋" w:eastAsia="仿宋" w:cs="仿宋"/>
          <w:b w:val="0"/>
          <w:sz w:val="24"/>
          <w:szCs w:val="24"/>
        </w:rPr>
      </w:pPr>
    </w:p>
    <w:p w14:paraId="3E73767D">
      <w:pPr>
        <w:rPr>
          <w:rFonts w:hint="eastAsia" w:ascii="仿宋" w:hAnsi="仿宋" w:eastAsia="仿宋" w:cs="仿宋"/>
          <w:b w:val="0"/>
          <w:sz w:val="24"/>
          <w:szCs w:val="24"/>
        </w:rPr>
      </w:pPr>
    </w:p>
    <w:p w14:paraId="1626D44F">
      <w:pPr>
        <w:rPr>
          <w:rFonts w:hint="eastAsia" w:ascii="仿宋" w:hAnsi="仿宋" w:eastAsia="仿宋" w:cs="仿宋"/>
          <w:b w:val="0"/>
          <w:sz w:val="24"/>
          <w:szCs w:val="24"/>
        </w:rPr>
      </w:pPr>
    </w:p>
    <w:p w14:paraId="7CC7F8C1">
      <w:pPr>
        <w:rPr>
          <w:rFonts w:hint="eastAsia" w:ascii="仿宋" w:hAnsi="仿宋" w:eastAsia="仿宋" w:cs="仿宋"/>
          <w:b w:val="0"/>
          <w:sz w:val="24"/>
          <w:szCs w:val="24"/>
        </w:rPr>
      </w:pPr>
    </w:p>
    <w:p w14:paraId="29A4EF9F">
      <w:pPr>
        <w:rPr>
          <w:rFonts w:hint="eastAsia" w:ascii="仿宋" w:hAnsi="仿宋" w:eastAsia="仿宋" w:cs="仿宋"/>
          <w:b w:val="0"/>
          <w:sz w:val="24"/>
          <w:szCs w:val="24"/>
        </w:rPr>
      </w:pPr>
    </w:p>
    <w:p w14:paraId="0E2DF257">
      <w:pPr>
        <w:rPr>
          <w:rFonts w:hint="eastAsia" w:ascii="仿宋" w:hAnsi="仿宋" w:eastAsia="仿宋" w:cs="仿宋"/>
          <w:b w:val="0"/>
          <w:sz w:val="24"/>
          <w:szCs w:val="24"/>
        </w:rPr>
      </w:pPr>
    </w:p>
    <w:p w14:paraId="4070393B">
      <w:pPr>
        <w:rPr>
          <w:rFonts w:hint="eastAsia" w:ascii="仿宋" w:hAnsi="仿宋" w:eastAsia="仿宋" w:cs="仿宋"/>
          <w:b w:val="0"/>
          <w:sz w:val="24"/>
          <w:szCs w:val="24"/>
        </w:rPr>
      </w:pPr>
    </w:p>
    <w:p w14:paraId="3064B039">
      <w:pPr>
        <w:pStyle w:val="5"/>
        <w:rPr>
          <w:rFonts w:hint="eastAsia" w:ascii="仿宋" w:hAnsi="仿宋" w:eastAsia="仿宋" w:cs="仿宋"/>
          <w:sz w:val="21"/>
          <w:szCs w:val="21"/>
        </w:rPr>
      </w:pPr>
      <w:r>
        <w:rPr>
          <w:rFonts w:hint="eastAsia" w:ascii="仿宋" w:hAnsi="仿宋" w:eastAsia="仿宋" w:cs="仿宋"/>
          <w:b w:val="0"/>
          <w:sz w:val="24"/>
          <w:szCs w:val="24"/>
        </w:rPr>
        <w:t>附件</w:t>
      </w:r>
      <w:r>
        <w:rPr>
          <w:rFonts w:hint="eastAsia" w:ascii="仿宋" w:hAnsi="仿宋" w:eastAsia="仿宋" w:cs="仿宋"/>
          <w:b w:val="0"/>
          <w:sz w:val="24"/>
          <w:szCs w:val="24"/>
          <w:lang w:val="en-US" w:eastAsia="zh-CN"/>
        </w:rPr>
        <w:t>3</w:t>
      </w:r>
      <w:r>
        <w:rPr>
          <w:rFonts w:hint="eastAsia" w:ascii="仿宋" w:hAnsi="仿宋" w:eastAsia="仿宋" w:cs="仿宋"/>
          <w:b w:val="0"/>
          <w:sz w:val="24"/>
          <w:szCs w:val="24"/>
        </w:rPr>
        <w:t>：竞投报价表</w:t>
      </w:r>
    </w:p>
    <w:p w14:paraId="2F545191">
      <w:pPr>
        <w:widowControl/>
        <w:spacing w:line="440" w:lineRule="exact"/>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竞投报价表</w:t>
      </w:r>
    </w:p>
    <w:p w14:paraId="4CEA50CA">
      <w:pPr>
        <w:widowControl/>
        <w:spacing w:line="440" w:lineRule="exact"/>
        <w:ind w:left="-178" w:leftChars="-85"/>
        <w:rPr>
          <w:rFonts w:hint="eastAsia" w:ascii="仿宋" w:hAnsi="仿宋" w:eastAsia="仿宋" w:cs="仿宋"/>
          <w:bCs/>
          <w:sz w:val="24"/>
        </w:rPr>
      </w:pPr>
    </w:p>
    <w:p w14:paraId="0A26232D">
      <w:pPr>
        <w:widowControl/>
        <w:spacing w:line="440" w:lineRule="exact"/>
        <w:ind w:left="-178" w:leftChars="-85"/>
        <w:rPr>
          <w:rFonts w:hint="eastAsia" w:ascii="仿宋_GB2312" w:hAnsi="仿宋_GB2312" w:eastAsia="仿宋_GB2312" w:cs="仿宋_GB2312"/>
          <w:szCs w:val="21"/>
        </w:rPr>
      </w:pPr>
      <w:r>
        <w:rPr>
          <w:rFonts w:hint="eastAsia" w:ascii="仿宋_GB2312" w:hAnsi="仿宋_GB2312" w:eastAsia="仿宋_GB2312" w:cs="仿宋_GB2312"/>
          <w:sz w:val="24"/>
        </w:rPr>
        <w:t>项目名称：</w:t>
      </w:r>
      <w:r>
        <w:rPr>
          <w:rFonts w:hint="eastAsia" w:ascii="仿宋_GB2312" w:hAnsi="仿宋_GB2312" w:eastAsia="仿宋_GB2312" w:cs="仿宋_GB2312"/>
          <w:sz w:val="24"/>
          <w:szCs w:val="24"/>
          <w:lang w:eastAsia="zh-CN"/>
        </w:rPr>
        <w:t>花城汇北中南三区及海心沙11宗欠费案件专项律师代理服务采购项目</w:t>
      </w:r>
    </w:p>
    <w:p w14:paraId="5F239337">
      <w:pPr>
        <w:widowControl/>
        <w:spacing w:line="440" w:lineRule="exact"/>
        <w:ind w:left="-178" w:leftChars="-85" w:firstLine="6510" w:firstLineChars="3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金额单位：元（人民币）</w:t>
      </w:r>
    </w:p>
    <w:tbl>
      <w:tblPr>
        <w:tblStyle w:val="14"/>
        <w:tblW w:w="953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628"/>
        <w:gridCol w:w="3273"/>
        <w:gridCol w:w="3177"/>
      </w:tblGrid>
      <w:tr w14:paraId="4110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457" w:type="dxa"/>
            <w:noWrap w:val="0"/>
            <w:vAlign w:val="center"/>
          </w:tcPr>
          <w:p w14:paraId="1602B7D8">
            <w:pPr>
              <w:widowControl/>
              <w:spacing w:line="440" w:lineRule="exact"/>
              <w:jc w:val="center"/>
              <w:rPr>
                <w:rFonts w:ascii="仿宋_GB2312" w:eastAsia="仿宋_GB2312" w:cs="Times New Roman"/>
                <w:sz w:val="24"/>
              </w:rPr>
            </w:pPr>
            <w:r>
              <w:rPr>
                <w:rFonts w:hint="eastAsia" w:ascii="仿宋_GB2312" w:eastAsia="仿宋_GB2312"/>
                <w:sz w:val="24"/>
              </w:rPr>
              <w:t>序号</w:t>
            </w:r>
          </w:p>
        </w:tc>
        <w:tc>
          <w:tcPr>
            <w:tcW w:w="2628" w:type="dxa"/>
            <w:noWrap w:val="0"/>
            <w:vAlign w:val="center"/>
          </w:tcPr>
          <w:p w14:paraId="37C61296">
            <w:pPr>
              <w:widowControl/>
              <w:spacing w:line="440" w:lineRule="exact"/>
              <w:jc w:val="center"/>
              <w:rPr>
                <w:rFonts w:ascii="仿宋_GB2312" w:eastAsia="仿宋_GB2312" w:cs="Times New Roman"/>
                <w:sz w:val="24"/>
              </w:rPr>
            </w:pPr>
            <w:r>
              <w:rPr>
                <w:rFonts w:hint="eastAsia" w:ascii="仿宋_GB2312" w:eastAsia="仿宋_GB2312"/>
                <w:sz w:val="24"/>
              </w:rPr>
              <w:t>项目名称</w:t>
            </w:r>
          </w:p>
        </w:tc>
        <w:tc>
          <w:tcPr>
            <w:tcW w:w="3273" w:type="dxa"/>
            <w:noWrap w:val="0"/>
            <w:vAlign w:val="center"/>
          </w:tcPr>
          <w:p w14:paraId="3057ED2D">
            <w:pPr>
              <w:pStyle w:val="13"/>
              <w:jc w:val="center"/>
              <w:rPr>
                <w:rFonts w:hint="eastAsia" w:ascii="仿宋_GB2312" w:eastAsia="仿宋_GB2312"/>
                <w:kern w:val="2"/>
              </w:rPr>
            </w:pPr>
            <w:r>
              <w:rPr>
                <w:rFonts w:hint="eastAsia" w:ascii="仿宋_GB2312" w:eastAsia="仿宋_GB2312"/>
                <w:kern w:val="2"/>
              </w:rPr>
              <w:t>律师费报价</w:t>
            </w:r>
          </w:p>
          <w:p w14:paraId="6796389B">
            <w:pPr>
              <w:pStyle w:val="13"/>
              <w:jc w:val="center"/>
              <w:rPr>
                <w:rFonts w:ascii="仿宋_GB2312" w:eastAsia="仿宋_GB2312"/>
                <w:kern w:val="2"/>
              </w:rPr>
            </w:pPr>
            <w:r>
              <w:rPr>
                <w:rFonts w:hint="eastAsia" w:ascii="仿宋_GB2312" w:eastAsia="仿宋_GB2312"/>
                <w:kern w:val="2"/>
              </w:rPr>
              <w:t>（</w:t>
            </w:r>
            <w:r>
              <w:rPr>
                <w:rFonts w:hint="eastAsia" w:ascii="仿宋_GB2312" w:eastAsia="仿宋_GB2312"/>
                <w:kern w:val="2"/>
                <w:lang w:val="en-US" w:eastAsia="zh-CN"/>
              </w:rPr>
              <w:t>含税总报价</w:t>
            </w:r>
            <w:r>
              <w:rPr>
                <w:rFonts w:hint="eastAsia" w:ascii="仿宋_GB2312" w:eastAsia="仿宋_GB2312"/>
                <w:kern w:val="2"/>
              </w:rPr>
              <w:t>不高于</w:t>
            </w:r>
            <w:r>
              <w:rPr>
                <w:rFonts w:hint="eastAsia" w:ascii="仿宋_GB2312" w:eastAsia="仿宋_GB2312"/>
                <w:kern w:val="2"/>
                <w:lang w:val="en-US" w:eastAsia="zh-CN"/>
              </w:rPr>
              <w:t>155000</w:t>
            </w:r>
            <w:r>
              <w:rPr>
                <w:rFonts w:hint="eastAsia" w:ascii="仿宋_GB2312" w:eastAsia="仿宋_GB2312"/>
                <w:kern w:val="2"/>
              </w:rPr>
              <w:t>元）</w:t>
            </w:r>
          </w:p>
        </w:tc>
        <w:tc>
          <w:tcPr>
            <w:tcW w:w="3177" w:type="dxa"/>
            <w:noWrap w:val="0"/>
            <w:vAlign w:val="center"/>
          </w:tcPr>
          <w:p w14:paraId="05058ED3">
            <w:pPr>
              <w:pStyle w:val="13"/>
              <w:jc w:val="center"/>
              <w:rPr>
                <w:rFonts w:ascii="仿宋_GB2312" w:eastAsia="仿宋_GB2312"/>
                <w:kern w:val="2"/>
              </w:rPr>
            </w:pPr>
            <w:r>
              <w:rPr>
                <w:rFonts w:hint="eastAsia" w:ascii="仿宋_GB2312" w:eastAsia="仿宋_GB2312"/>
                <w:kern w:val="2"/>
                <w:lang w:val="en-US" w:eastAsia="zh-CN"/>
              </w:rPr>
              <w:t>服务期限</w:t>
            </w:r>
          </w:p>
        </w:tc>
      </w:tr>
      <w:tr w14:paraId="33B0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457" w:type="dxa"/>
            <w:noWrap w:val="0"/>
            <w:vAlign w:val="center"/>
          </w:tcPr>
          <w:p w14:paraId="5AF7E3B5">
            <w:pPr>
              <w:widowControl/>
              <w:spacing w:line="440" w:lineRule="exact"/>
              <w:jc w:val="center"/>
              <w:rPr>
                <w:rFonts w:ascii="仿宋_GB2312" w:eastAsia="仿宋_GB2312" w:cs="Times New Roman"/>
                <w:sz w:val="24"/>
              </w:rPr>
            </w:pPr>
            <w:r>
              <w:rPr>
                <w:rFonts w:hint="eastAsia" w:ascii="仿宋_GB2312" w:eastAsia="仿宋_GB2312"/>
                <w:sz w:val="24"/>
              </w:rPr>
              <w:t>1</w:t>
            </w:r>
          </w:p>
        </w:tc>
        <w:tc>
          <w:tcPr>
            <w:tcW w:w="2628" w:type="dxa"/>
            <w:noWrap w:val="0"/>
            <w:vAlign w:val="center"/>
          </w:tcPr>
          <w:p w14:paraId="36E02FA2">
            <w:pPr>
              <w:widowControl/>
              <w:spacing w:line="440" w:lineRule="exact"/>
              <w:jc w:val="center"/>
              <w:rPr>
                <w:rFonts w:ascii="仿宋_GB2312" w:eastAsia="仿宋_GB2312" w:cs="Times New Roman"/>
              </w:rPr>
            </w:pPr>
            <w:r>
              <w:rPr>
                <w:rFonts w:hint="eastAsia" w:ascii="仿宋_GB2312" w:hAnsi="宋体" w:eastAsia="仿宋_GB2312"/>
                <w:lang w:val="en-US" w:eastAsia="zh-CN"/>
              </w:rPr>
              <w:t>花城汇北中南三区及海心沙11宗欠费案件专项律师代理服务采购项目</w:t>
            </w:r>
          </w:p>
        </w:tc>
        <w:tc>
          <w:tcPr>
            <w:tcW w:w="3273" w:type="dxa"/>
            <w:noWrap w:val="0"/>
            <w:vAlign w:val="center"/>
          </w:tcPr>
          <w:p w14:paraId="47E1402A">
            <w:pPr>
              <w:spacing w:line="360" w:lineRule="auto"/>
              <w:ind w:left="1920" w:hanging="1920" w:hangingChars="800"/>
              <w:rPr>
                <w:rFonts w:hint="eastAsia" w:ascii="仿宋_GB2312" w:hAnsi="宋体" w:eastAsia="仿宋_GB2312" w:cs="宋体"/>
                <w:color w:val="auto"/>
                <w:sz w:val="24"/>
                <w:highlight w:val="none"/>
                <w:lang w:val="en-US" w:eastAsia="zh-CN"/>
              </w:rPr>
            </w:pPr>
            <w:r>
              <w:rPr>
                <w:rFonts w:hint="eastAsia" w:ascii="仿宋_GB2312" w:hAnsi="宋体" w:eastAsia="仿宋_GB2312" w:cs="宋体"/>
                <w:color w:val="auto"/>
                <w:sz w:val="24"/>
                <w:highlight w:val="none"/>
                <w:lang w:val="en-US" w:eastAsia="zh-CN"/>
              </w:rPr>
              <w:t>含</w:t>
            </w:r>
            <w:r>
              <w:rPr>
                <w:rFonts w:hint="eastAsia" w:ascii="仿宋_GB2312" w:hAnsi="宋体" w:eastAsia="仿宋_GB2312" w:cs="宋体"/>
                <w:color w:val="auto"/>
                <w:sz w:val="24"/>
                <w:highlight w:val="none"/>
              </w:rPr>
              <w:t>税</w:t>
            </w:r>
            <w:r>
              <w:rPr>
                <w:rFonts w:hint="eastAsia" w:ascii="仿宋_GB2312" w:hAnsi="宋体" w:eastAsia="仿宋_GB2312" w:cs="宋体"/>
                <w:color w:val="auto"/>
                <w:sz w:val="24"/>
                <w:highlight w:val="none"/>
                <w:lang w:val="en-US" w:eastAsia="zh-CN"/>
              </w:rPr>
              <w:t>总</w:t>
            </w:r>
            <w:r>
              <w:rPr>
                <w:rFonts w:hint="eastAsia" w:ascii="仿宋_GB2312" w:hAnsi="宋体" w:eastAsia="仿宋_GB2312" w:cs="宋体"/>
                <w:color w:val="auto"/>
                <w:sz w:val="24"/>
                <w:highlight w:val="none"/>
              </w:rPr>
              <w:t>报价</w:t>
            </w:r>
            <w:r>
              <w:rPr>
                <w:rFonts w:hint="eastAsia" w:ascii="仿宋_GB2312" w:hAnsi="宋体" w:eastAsia="仿宋_GB2312" w:cs="宋体"/>
                <w:color w:val="auto"/>
                <w:sz w:val="24"/>
                <w:highlight w:val="none"/>
                <w:lang w:val="en-US" w:eastAsia="zh-CN"/>
              </w:rPr>
              <w:t>为    元。</w:t>
            </w:r>
          </w:p>
          <w:p w14:paraId="2A0848FC">
            <w:pPr>
              <w:spacing w:line="360" w:lineRule="auto"/>
              <w:jc w:val="both"/>
              <w:rPr>
                <w:rFonts w:hint="eastAsia" w:ascii="仿宋_GB2312" w:eastAsia="仿宋_GB2312"/>
                <w:color w:val="000000"/>
                <w:u w:val="single"/>
              </w:rPr>
            </w:pPr>
            <w:r>
              <w:rPr>
                <w:rFonts w:hint="eastAsia" w:ascii="仿宋_GB2312" w:hAnsi="宋体" w:eastAsia="仿宋_GB2312" w:cs="宋体"/>
                <w:color w:val="auto"/>
                <w:sz w:val="24"/>
                <w:highlight w:val="none"/>
              </w:rPr>
              <w:t>（其中不含税金</w:t>
            </w:r>
            <w:r>
              <w:rPr>
                <w:rFonts w:hint="eastAsia" w:ascii="仿宋_GB2312" w:hAnsi="宋体" w:eastAsia="仿宋_GB2312" w:cs="宋体"/>
                <w:color w:val="auto"/>
                <w:sz w:val="24"/>
                <w:highlight w:val="none"/>
                <w:lang w:eastAsia="zh-CN"/>
              </w:rPr>
              <w:t>额</w:t>
            </w:r>
            <w:r>
              <w:rPr>
                <w:rFonts w:hint="eastAsia" w:ascii="仿宋_GB2312" w:hAnsi="宋体" w:eastAsia="仿宋_GB2312" w:cs="宋体"/>
                <w:color w:val="auto"/>
                <w:sz w:val="24"/>
                <w:highlight w:val="none"/>
                <w:lang w:val="en-US" w:eastAsia="zh-CN"/>
              </w:rPr>
              <w:t xml:space="preserve">  元，税额  元，税率  %）</w:t>
            </w:r>
          </w:p>
        </w:tc>
        <w:tc>
          <w:tcPr>
            <w:tcW w:w="3177" w:type="dxa"/>
            <w:noWrap w:val="0"/>
            <w:vAlign w:val="top"/>
          </w:tcPr>
          <w:p w14:paraId="1E9C4FF0">
            <w:pPr>
              <w:pStyle w:val="13"/>
              <w:spacing w:line="560" w:lineRule="exact"/>
              <w:rPr>
                <w:rFonts w:ascii="仿宋_GB2312" w:eastAsia="仿宋_GB2312"/>
                <w:color w:val="000000"/>
              </w:rPr>
            </w:pPr>
            <w:r>
              <w:rPr>
                <w:rFonts w:hint="eastAsia" w:ascii="仿宋_GB2312" w:eastAsia="仿宋_GB2312"/>
                <w:color w:val="000000"/>
              </w:rPr>
              <w:t>至全部委托事项办结(如涉及执行阶段，则执行阶段至执行法院首次裁定终结执行程序视为办结)</w:t>
            </w:r>
          </w:p>
        </w:tc>
      </w:tr>
    </w:tbl>
    <w:p w14:paraId="39062669">
      <w:pPr>
        <w:widowControl/>
        <w:spacing w:line="440" w:lineRule="exact"/>
        <w:rPr>
          <w:rFonts w:ascii="仿宋_GB2312" w:eastAsia="仿宋_GB2312" w:cs="Times New Roman"/>
          <w:sz w:val="24"/>
        </w:rPr>
      </w:pPr>
      <w:r>
        <w:rPr>
          <w:rFonts w:hint="eastAsia" w:ascii="仿宋_GB2312" w:eastAsia="仿宋_GB2312" w:cs="Times New Roman"/>
          <w:sz w:val="24"/>
        </w:rPr>
        <w:t>备注：1.</w:t>
      </w:r>
      <w:r>
        <w:rPr>
          <w:rFonts w:hint="eastAsia" w:ascii="仿宋_GB2312" w:hAnsi="宋体" w:eastAsia="仿宋_GB2312" w:cs="Times New Roman"/>
          <w:sz w:val="24"/>
        </w:rPr>
        <w:t>各报价人严格根据采购人提供的上述清单格式进行报价；</w:t>
      </w:r>
    </w:p>
    <w:p w14:paraId="42925B8E">
      <w:pPr>
        <w:widowControl/>
        <w:spacing w:line="440" w:lineRule="exact"/>
        <w:ind w:firstLine="840" w:firstLineChars="350"/>
        <w:rPr>
          <w:rFonts w:hint="eastAsia" w:ascii="仿宋_GB2312" w:eastAsia="仿宋_GB2312" w:cs="Times New Roman"/>
          <w:szCs w:val="21"/>
        </w:rPr>
      </w:pPr>
      <w:r>
        <w:rPr>
          <w:rFonts w:hint="eastAsia" w:ascii="仿宋_GB2312" w:hAnsi="宋体" w:eastAsia="仿宋_GB2312" w:cs="Times New Roman"/>
          <w:sz w:val="24"/>
        </w:rPr>
        <w:t>2.报价已包含增值税税款，须提供增值税专用发票。</w:t>
      </w:r>
    </w:p>
    <w:p w14:paraId="3A651C70">
      <w:pPr>
        <w:widowControl/>
        <w:spacing w:line="440" w:lineRule="exact"/>
        <w:rPr>
          <w:rFonts w:hint="eastAsia" w:ascii="仿宋" w:hAnsi="仿宋" w:eastAsia="仿宋" w:cs="仿宋"/>
          <w:szCs w:val="21"/>
        </w:rPr>
      </w:pPr>
    </w:p>
    <w:p w14:paraId="6B44795F">
      <w:pPr>
        <w:rPr>
          <w:rFonts w:hint="eastAsia" w:ascii="仿宋" w:hAnsi="仿宋" w:eastAsia="仿宋" w:cs="仿宋"/>
          <w:b w:val="0"/>
          <w:bCs w:val="0"/>
          <w:sz w:val="24"/>
        </w:rPr>
      </w:pPr>
      <w:r>
        <w:rPr>
          <w:rFonts w:hint="eastAsia" w:ascii="仿宋" w:hAnsi="仿宋" w:eastAsia="仿宋" w:cs="仿宋"/>
          <w:b w:val="0"/>
          <w:bCs w:val="0"/>
          <w:sz w:val="24"/>
          <w:lang w:eastAsia="zh-CN"/>
        </w:rPr>
        <w:t>竞投人</w:t>
      </w:r>
      <w:r>
        <w:rPr>
          <w:rFonts w:hint="eastAsia" w:ascii="仿宋" w:hAnsi="仿宋" w:eastAsia="仿宋" w:cs="仿宋"/>
          <w:b w:val="0"/>
          <w:bCs w:val="0"/>
          <w:sz w:val="24"/>
        </w:rPr>
        <w:t>全称（公章）：</w:t>
      </w:r>
    </w:p>
    <w:p w14:paraId="01209E24">
      <w:pPr>
        <w:rPr>
          <w:rFonts w:hint="eastAsia" w:ascii="仿宋" w:hAnsi="仿宋" w:eastAsia="仿宋" w:cs="仿宋"/>
          <w:b w:val="0"/>
          <w:bCs w:val="0"/>
          <w:sz w:val="24"/>
        </w:rPr>
      </w:pPr>
      <w:r>
        <w:rPr>
          <w:rFonts w:hint="eastAsia" w:ascii="仿宋" w:hAnsi="仿宋" w:eastAsia="仿宋" w:cs="仿宋"/>
          <w:b w:val="0"/>
          <w:bCs w:val="0"/>
          <w:sz w:val="24"/>
        </w:rPr>
        <w:t>法定代表人（或负责人）或其</w:t>
      </w:r>
      <w:r>
        <w:rPr>
          <w:rFonts w:hint="eastAsia" w:ascii="仿宋" w:hAnsi="仿宋" w:eastAsia="仿宋" w:cs="仿宋"/>
          <w:b w:val="0"/>
          <w:bCs w:val="0"/>
          <w:sz w:val="24"/>
          <w:lang w:eastAsia="zh-CN"/>
        </w:rPr>
        <w:t>竞投人</w:t>
      </w:r>
      <w:r>
        <w:rPr>
          <w:rFonts w:hint="eastAsia" w:ascii="仿宋" w:hAnsi="仿宋" w:eastAsia="仿宋" w:cs="仿宋"/>
          <w:b w:val="0"/>
          <w:bCs w:val="0"/>
          <w:sz w:val="24"/>
        </w:rPr>
        <w:t>授权代表（签字）：</w:t>
      </w:r>
    </w:p>
    <w:p w14:paraId="2DFDA978">
      <w:pPr>
        <w:rPr>
          <w:rFonts w:hint="eastAsia" w:ascii="仿宋" w:hAnsi="仿宋" w:eastAsia="仿宋" w:cs="仿宋"/>
          <w:b w:val="0"/>
          <w:bCs w:val="0"/>
          <w:sz w:val="24"/>
        </w:rPr>
      </w:pPr>
      <w:r>
        <w:rPr>
          <w:rFonts w:hint="eastAsia" w:ascii="仿宋" w:hAnsi="仿宋" w:eastAsia="仿宋" w:cs="仿宋"/>
          <w:b w:val="0"/>
          <w:bCs w:val="0"/>
          <w:sz w:val="24"/>
        </w:rPr>
        <w:t xml:space="preserve">日    期：         年      月     </w:t>
      </w:r>
    </w:p>
    <w:p w14:paraId="10375B9C">
      <w:pPr>
        <w:rPr>
          <w:rFonts w:hint="eastAsia" w:ascii="仿宋" w:hAnsi="仿宋" w:eastAsia="仿宋" w:cs="仿宋"/>
          <w:b w:val="0"/>
          <w:bCs w:val="0"/>
          <w:sz w:val="24"/>
        </w:rPr>
      </w:pPr>
    </w:p>
    <w:p w14:paraId="22D6E41B">
      <w:pPr>
        <w:spacing w:line="360" w:lineRule="auto"/>
        <w:ind w:left="706" w:hanging="705" w:hangingChars="294"/>
        <w:jc w:val="left"/>
        <w:rPr>
          <w:rFonts w:hint="eastAsia" w:ascii="仿宋" w:hAnsi="仿宋" w:eastAsia="仿宋" w:cs="仿宋"/>
          <w:sz w:val="24"/>
        </w:rPr>
      </w:pPr>
      <w:r>
        <w:rPr>
          <w:rFonts w:hint="eastAsia" w:ascii="仿宋" w:hAnsi="仿宋" w:eastAsia="仿宋" w:cs="仿宋"/>
          <w:sz w:val="24"/>
        </w:rPr>
        <w:t>注：1.此表为完成采购项目所有服务内容的总报价明细表，如有缺项、漏项，视为竞投报价中已包含相关费用，采购人无须另外支付任何费用；</w:t>
      </w:r>
    </w:p>
    <w:p w14:paraId="6026FCD3">
      <w:pPr>
        <w:spacing w:line="360" w:lineRule="auto"/>
        <w:ind w:left="706" w:hanging="705" w:hangingChars="294"/>
        <w:jc w:val="left"/>
        <w:rPr>
          <w:rFonts w:hint="eastAsia" w:ascii="仿宋" w:hAnsi="仿宋" w:eastAsia="仿宋" w:cs="仿宋"/>
          <w:sz w:val="24"/>
        </w:rPr>
      </w:pPr>
      <w:r>
        <w:rPr>
          <w:rFonts w:hint="eastAsia" w:ascii="仿宋" w:hAnsi="仿宋" w:eastAsia="仿宋" w:cs="仿宋"/>
          <w:sz w:val="24"/>
        </w:rPr>
        <w:t xml:space="preserve">     2.竞投人应按采购文件的要求，根据实际情况进行报价。本表内的竞投总价为最终报价，竞投文件内不得含有任何对本报价进行修改的其他说明，否则将被视为无效竞投；</w:t>
      </w:r>
    </w:p>
    <w:p w14:paraId="76130D6A">
      <w:pPr>
        <w:spacing w:line="360" w:lineRule="auto"/>
        <w:ind w:left="706" w:hanging="705" w:hangingChars="294"/>
        <w:jc w:val="left"/>
        <w:rPr>
          <w:rFonts w:hint="eastAsia" w:ascii="仿宋" w:hAnsi="仿宋" w:eastAsia="仿宋" w:cs="仿宋"/>
          <w:sz w:val="24"/>
        </w:rPr>
      </w:pPr>
      <w:r>
        <w:rPr>
          <w:rFonts w:hint="eastAsia" w:ascii="仿宋" w:hAnsi="仿宋" w:eastAsia="仿宋" w:cs="仿宋"/>
          <w:sz w:val="24"/>
        </w:rPr>
        <w:t xml:space="preserve">     3.竞投总报价包括了竞投人完成本项目所需的一切工作内容而发生的所有费用；</w:t>
      </w:r>
    </w:p>
    <w:p w14:paraId="0002B5E5">
      <w:pPr>
        <w:spacing w:line="360" w:lineRule="auto"/>
        <w:ind w:left="706" w:hanging="705" w:hangingChars="294"/>
        <w:jc w:val="left"/>
        <w:rPr>
          <w:rFonts w:hint="eastAsia" w:ascii="仿宋" w:hAnsi="仿宋" w:eastAsia="仿宋" w:cs="仿宋"/>
          <w:sz w:val="24"/>
        </w:rPr>
      </w:pPr>
      <w:r>
        <w:rPr>
          <w:rFonts w:hint="eastAsia" w:ascii="仿宋" w:hAnsi="仿宋" w:eastAsia="仿宋" w:cs="仿宋"/>
          <w:sz w:val="24"/>
        </w:rPr>
        <w:t xml:space="preserve">     4.本竞投价为固定不变价；</w:t>
      </w:r>
    </w:p>
    <w:p w14:paraId="69221286">
      <w:pPr>
        <w:spacing w:line="360" w:lineRule="auto"/>
        <w:ind w:left="706" w:hanging="705" w:hangingChars="294"/>
        <w:jc w:val="left"/>
        <w:rPr>
          <w:rFonts w:hint="eastAsia" w:ascii="仿宋" w:hAnsi="仿宋" w:eastAsia="仿宋" w:cs="仿宋"/>
          <w:sz w:val="24"/>
        </w:rPr>
      </w:pPr>
      <w:r>
        <w:rPr>
          <w:rFonts w:hint="eastAsia" w:ascii="仿宋" w:hAnsi="仿宋" w:eastAsia="仿宋" w:cs="仿宋"/>
          <w:sz w:val="24"/>
        </w:rPr>
        <w:t xml:space="preserve">     5.报价以人民币元为单位，保留小数点</w:t>
      </w:r>
      <w:r>
        <w:rPr>
          <w:rFonts w:hint="eastAsia" w:ascii="仿宋" w:hAnsi="仿宋" w:eastAsia="仿宋" w:cs="仿宋"/>
          <w:sz w:val="24"/>
          <w:lang w:val="en-US" w:eastAsia="zh-CN"/>
        </w:rPr>
        <w:t>后两位</w:t>
      </w:r>
      <w:r>
        <w:rPr>
          <w:rFonts w:hint="eastAsia" w:ascii="仿宋" w:hAnsi="仿宋" w:eastAsia="仿宋" w:cs="仿宋"/>
          <w:sz w:val="24"/>
        </w:rPr>
        <w:t>；</w:t>
      </w:r>
    </w:p>
    <w:p w14:paraId="72079C68">
      <w:pPr>
        <w:spacing w:line="360" w:lineRule="auto"/>
        <w:ind w:left="706" w:hanging="705" w:hangingChars="294"/>
        <w:jc w:val="left"/>
        <w:rPr>
          <w:rFonts w:hint="eastAsia" w:ascii="仿宋" w:hAnsi="仿宋" w:eastAsia="仿宋" w:cs="仿宋"/>
          <w:sz w:val="24"/>
        </w:rPr>
      </w:pPr>
      <w:r>
        <w:rPr>
          <w:rFonts w:hint="eastAsia" w:ascii="仿宋" w:hAnsi="仿宋" w:eastAsia="仿宋" w:cs="仿宋"/>
          <w:sz w:val="24"/>
        </w:rPr>
        <w:t xml:space="preserve">     6.本表格须附在正副的竞投文件中；</w:t>
      </w:r>
    </w:p>
    <w:p w14:paraId="52F4EEC0">
      <w:pPr>
        <w:spacing w:line="360" w:lineRule="auto"/>
        <w:jc w:val="left"/>
        <w:rPr>
          <w:rFonts w:hint="eastAsia" w:ascii="仿宋" w:hAnsi="仿宋" w:eastAsia="仿宋" w:cs="仿宋"/>
          <w:sz w:val="24"/>
        </w:rPr>
      </w:pPr>
      <w:r>
        <w:rPr>
          <w:rFonts w:hint="eastAsia" w:ascii="仿宋" w:hAnsi="仿宋" w:eastAsia="仿宋" w:cs="仿宋"/>
          <w:sz w:val="24"/>
        </w:rPr>
        <w:t xml:space="preserve">     7.本表格式仅作参考，竞投人的详细报价表格式可自定。</w:t>
      </w:r>
    </w:p>
    <w:p w14:paraId="414682C5">
      <w:pPr>
        <w:bidi w:val="0"/>
        <w:rPr>
          <w:rFonts w:hint="eastAsia" w:ascii="仿宋" w:hAnsi="仿宋" w:eastAsia="仿宋" w:cs="仿宋"/>
          <w:sz w:val="24"/>
          <w:szCs w:val="24"/>
          <w:lang w:val="en-US" w:eastAsia="zh-CN"/>
        </w:rPr>
      </w:pPr>
    </w:p>
    <w:p w14:paraId="2484FFBF">
      <w:pPr>
        <w:bidi w:val="0"/>
        <w:rPr>
          <w:rFonts w:hint="eastAsia" w:ascii="仿宋" w:hAnsi="仿宋" w:eastAsia="仿宋" w:cs="仿宋"/>
          <w:sz w:val="24"/>
          <w:szCs w:val="24"/>
          <w:lang w:val="en-US" w:eastAsia="zh-CN"/>
        </w:rPr>
      </w:pPr>
    </w:p>
    <w:p w14:paraId="104BFB89">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附件4：</w:t>
      </w:r>
    </w:p>
    <w:p w14:paraId="611C0EA1">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1.企业营业执照/执业许可证复印件（盖章）</w:t>
      </w:r>
    </w:p>
    <w:p w14:paraId="6DB891DC">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2.相关资格证书</w:t>
      </w:r>
    </w:p>
    <w:p w14:paraId="5618D655">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3.服务方案（盖章）</w:t>
      </w:r>
    </w:p>
    <w:p w14:paraId="5477ACCA">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4.资格及符合性审查其他证明文件</w:t>
      </w:r>
    </w:p>
    <w:p w14:paraId="261D38D7">
      <w:pPr>
        <w:numPr>
          <w:ilvl w:val="0"/>
          <w:numId w:val="0"/>
        </w:numPr>
        <w:ind w:leftChars="0"/>
        <w:rPr>
          <w:rFonts w:hint="eastAsia" w:ascii="仿宋" w:hAnsi="仿宋" w:eastAsia="仿宋" w:cs="仿宋"/>
          <w:lang w:val="en-US" w:eastAsia="zh-CN"/>
        </w:rPr>
      </w:pPr>
      <w:r>
        <w:rPr>
          <w:rFonts w:hint="eastAsia" w:ascii="仿宋" w:hAnsi="仿宋" w:eastAsia="仿宋" w:cs="仿宋"/>
          <w:sz w:val="24"/>
          <w:szCs w:val="24"/>
          <w:lang w:val="en-US" w:eastAsia="zh-CN"/>
        </w:rPr>
        <w:t>5.评审相关证明文件</w:t>
      </w:r>
    </w:p>
    <w:p w14:paraId="0212D730">
      <w:pPr>
        <w:pStyle w:val="5"/>
        <w:rPr>
          <w:rFonts w:hint="eastAsia" w:ascii="仿宋_GB2312" w:eastAsia="仿宋_GB2312"/>
          <w:b w:val="0"/>
          <w:sz w:val="24"/>
          <w:szCs w:val="24"/>
        </w:rPr>
      </w:pPr>
    </w:p>
    <w:p w14:paraId="739C64AD">
      <w:pPr>
        <w:widowControl/>
        <w:spacing w:line="440" w:lineRule="exact"/>
        <w:rPr>
          <w:rFonts w:hint="eastAsia" w:ascii="仿宋_GB2312" w:eastAsia="仿宋_GB2312"/>
          <w:bCs/>
          <w:sz w:val="24"/>
        </w:rPr>
      </w:pPr>
    </w:p>
    <w:p w14:paraId="4BC5B104">
      <w:pPr>
        <w:widowControl/>
        <w:spacing w:line="440" w:lineRule="exact"/>
        <w:rPr>
          <w:rFonts w:hint="eastAsia" w:ascii="仿宋_GB2312" w:eastAsia="仿宋_GB2312"/>
          <w:bCs/>
          <w:sz w:val="24"/>
        </w:rPr>
      </w:pPr>
    </w:p>
    <w:p w14:paraId="60D2E228">
      <w:pPr>
        <w:widowControl/>
        <w:spacing w:line="440" w:lineRule="exact"/>
        <w:rPr>
          <w:rFonts w:hint="eastAsia" w:ascii="仿宋_GB2312" w:eastAsia="仿宋_GB2312"/>
          <w:bCs/>
          <w:sz w:val="24"/>
        </w:rPr>
      </w:pPr>
    </w:p>
    <w:p w14:paraId="1E5D2B80">
      <w:pPr>
        <w:widowControl/>
        <w:spacing w:line="440" w:lineRule="exact"/>
        <w:rPr>
          <w:rFonts w:hint="eastAsia" w:ascii="仿宋_GB2312" w:eastAsia="仿宋_GB2312"/>
          <w:bCs/>
          <w:sz w:val="24"/>
        </w:rPr>
      </w:pPr>
    </w:p>
    <w:p w14:paraId="0AA05E12">
      <w:pPr>
        <w:widowControl/>
        <w:spacing w:line="440" w:lineRule="exact"/>
        <w:rPr>
          <w:rFonts w:hint="eastAsia" w:ascii="仿宋_GB2312" w:eastAsia="仿宋_GB2312"/>
          <w:bCs/>
          <w:sz w:val="24"/>
        </w:rPr>
      </w:pPr>
    </w:p>
    <w:p w14:paraId="7DCB236D">
      <w:pPr>
        <w:widowControl/>
        <w:spacing w:line="440" w:lineRule="exact"/>
        <w:rPr>
          <w:rFonts w:hint="eastAsia" w:ascii="仿宋_GB2312" w:eastAsia="仿宋_GB2312"/>
          <w:bCs/>
          <w:sz w:val="24"/>
        </w:rPr>
      </w:pPr>
    </w:p>
    <w:p w14:paraId="6F6EBF76">
      <w:pPr>
        <w:widowControl/>
        <w:spacing w:line="440" w:lineRule="exact"/>
        <w:rPr>
          <w:rFonts w:hint="eastAsia" w:ascii="仿宋_GB2312" w:eastAsia="仿宋_GB2312"/>
          <w:bCs/>
          <w:sz w:val="24"/>
        </w:rPr>
      </w:pPr>
    </w:p>
    <w:p w14:paraId="6D357E09">
      <w:pPr>
        <w:widowControl/>
        <w:spacing w:line="440" w:lineRule="exact"/>
        <w:rPr>
          <w:rFonts w:hint="eastAsia" w:ascii="仿宋_GB2312" w:eastAsia="仿宋_GB2312"/>
          <w:bCs/>
          <w:sz w:val="24"/>
        </w:rPr>
      </w:pPr>
    </w:p>
    <w:p w14:paraId="7F1FA29D">
      <w:pPr>
        <w:widowControl/>
        <w:spacing w:line="440" w:lineRule="exact"/>
        <w:rPr>
          <w:rFonts w:hint="eastAsia" w:ascii="仿宋_GB2312" w:eastAsia="仿宋_GB2312"/>
          <w:bCs/>
          <w:sz w:val="24"/>
        </w:rPr>
      </w:pPr>
    </w:p>
    <w:p w14:paraId="1572FE83">
      <w:pPr>
        <w:widowControl/>
        <w:spacing w:line="440" w:lineRule="exact"/>
        <w:rPr>
          <w:rFonts w:hint="eastAsia" w:ascii="仿宋_GB2312" w:eastAsia="仿宋_GB2312"/>
          <w:bCs/>
          <w:sz w:val="24"/>
        </w:rPr>
      </w:pPr>
    </w:p>
    <w:p w14:paraId="2B9A05EB">
      <w:pPr>
        <w:widowControl/>
        <w:spacing w:line="440" w:lineRule="exact"/>
        <w:rPr>
          <w:rFonts w:hint="eastAsia" w:ascii="仿宋_GB2312" w:eastAsia="仿宋_GB2312"/>
          <w:bCs/>
          <w:sz w:val="24"/>
        </w:rPr>
      </w:pPr>
    </w:p>
    <w:p w14:paraId="57ADF2E1">
      <w:pPr>
        <w:widowControl/>
        <w:spacing w:line="440" w:lineRule="exact"/>
        <w:rPr>
          <w:rFonts w:hint="eastAsia" w:ascii="仿宋_GB2312" w:eastAsia="仿宋_GB2312"/>
          <w:bCs/>
          <w:sz w:val="24"/>
        </w:rPr>
      </w:pPr>
    </w:p>
    <w:p w14:paraId="0F5D14FF">
      <w:pPr>
        <w:widowControl/>
        <w:spacing w:line="440" w:lineRule="exact"/>
        <w:rPr>
          <w:rFonts w:hint="eastAsia" w:ascii="仿宋_GB2312" w:eastAsia="仿宋_GB2312"/>
          <w:bCs/>
          <w:sz w:val="24"/>
        </w:rPr>
      </w:pPr>
    </w:p>
    <w:p w14:paraId="04312E9E">
      <w:pPr>
        <w:widowControl/>
        <w:spacing w:line="440" w:lineRule="exact"/>
        <w:rPr>
          <w:rFonts w:hint="eastAsia" w:ascii="仿宋_GB2312" w:eastAsia="仿宋_GB2312"/>
          <w:bCs/>
          <w:sz w:val="24"/>
        </w:rPr>
      </w:pPr>
    </w:p>
    <w:bookmarkEnd w:id="8"/>
    <w:bookmarkEnd w:id="9"/>
    <w:p w14:paraId="4A187B5D">
      <w:pPr>
        <w:spacing w:line="360" w:lineRule="auto"/>
        <w:jc w:val="left"/>
        <w:rPr>
          <w:rFonts w:ascii="宋体" w:hAnsi="宋体" w:eastAsia="宋体" w:cs="宋体"/>
          <w:sz w:val="24"/>
          <w:szCs w:val="24"/>
        </w:rPr>
      </w:pPr>
    </w:p>
    <w:sectPr>
      <w:headerReference r:id="rId8" w:type="default"/>
      <w:footerReference r:id="rId9" w:type="default"/>
      <w:pgSz w:w="11907" w:h="16840"/>
      <w:pgMar w:top="1374" w:right="1786" w:bottom="0" w:left="138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B50C">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A635F6">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CA635F6">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A8F75">
    <w:pPr>
      <w:spacing w:before="102" w:line="177" w:lineRule="auto"/>
      <w:ind w:left="20"/>
      <w:rPr>
        <w:rFonts w:ascii="Times New Roman" w:hAnsi="Times New Roman" w:eastAsia="Times New Roman" w:cs="Times New Roman"/>
        <w:sz w:val="18"/>
        <w:szCs w:val="18"/>
      </w:rPr>
    </w:pPr>
    <w:r>
      <mc:AlternateContent>
        <mc:Choice Requires="wps">
          <w:drawing>
            <wp:anchor distT="0" distB="0" distL="114300" distR="114300" simplePos="0" relativeHeight="251659264" behindDoc="0" locked="0" layoutInCell="0" allowOverlap="1">
              <wp:simplePos x="0" y="0"/>
              <wp:positionH relativeFrom="page">
                <wp:posOffset>864235</wp:posOffset>
              </wp:positionH>
              <wp:positionV relativeFrom="page">
                <wp:posOffset>10038715</wp:posOffset>
              </wp:positionV>
              <wp:extent cx="5869305"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5869305" cy="6350"/>
                      </a:xfrm>
                      <a:custGeom>
                        <a:avLst/>
                        <a:gdLst/>
                        <a:ahLst/>
                        <a:cxnLst/>
                        <a:pathLst>
                          <a:path w="9242" h="10">
                            <a:moveTo>
                              <a:pt x="0" y="0"/>
                            </a:moveTo>
                            <a:lnTo>
                              <a:pt x="9242" y="0"/>
                            </a:lnTo>
                            <a:lnTo>
                              <a:pt x="924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8.05pt;margin-top:790.45pt;height:0.5pt;width:462.15pt;mso-position-horizontal-relative:page;mso-position-vertical-relative:page;z-index:251659264;mso-width-relative:page;mso-height-relative:page;" fillcolor="#000000" filled="t" stroked="f" coordsize="9242,10" o:allowincell="f" o:gfxdata="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7MTQN0AAAAOAQAADwAAAAAA&#10;AAABACAAAAAiAAAAZHJzL2Rvd25yZXYueG1sUEsBAhQAFAAAAAgAh07iQB2j1EUOAgAAeQQAAA4A&#10;AAAAAAAAAQAgAAAALAEAAGRycy9lMm9Eb2MueG1sUEsFBgAAAAAGAAYAWQEAAKwFAAAAAA==&#10;" path="m0,0l9242,0,9242,9,0,9,0,0xe">
              <v:fill on="t" focussize="0,0"/>
              <v:stroke on="f"/>
              <v:imagedata o:title=""/>
              <o:lock v:ext="edit" aspectratio="f"/>
            </v:shape>
          </w:pict>
        </mc:Fallback>
      </mc:AlternateContent>
    </w:r>
    <w:r>
      <mc:AlternateContent>
        <mc:Choice Requires="wps">
          <w:drawing>
            <wp:anchor distT="0" distB="0" distL="114300" distR="114300" simplePos="0" relativeHeight="251660288" behindDoc="0" locked="0" layoutInCell="0" allowOverlap="1">
              <wp:simplePos x="0" y="0"/>
              <wp:positionH relativeFrom="page">
                <wp:posOffset>864235</wp:posOffset>
              </wp:positionH>
              <wp:positionV relativeFrom="page">
                <wp:posOffset>10057765</wp:posOffset>
              </wp:positionV>
              <wp:extent cx="114300"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114300" cy="6350"/>
                      </a:xfrm>
                      <a:custGeom>
                        <a:avLst/>
                        <a:gdLst/>
                        <a:ahLst/>
                        <a:cxnLst/>
                        <a:pathLst>
                          <a:path w="180" h="10">
                            <a:moveTo>
                              <a:pt x="0" y="0"/>
                            </a:moveTo>
                            <a:lnTo>
                              <a:pt x="180" y="0"/>
                            </a:lnTo>
                            <a:lnTo>
                              <a:pt x="18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8.05pt;margin-top:791.95pt;height:0.5pt;width:9pt;mso-position-horizontal-relative:page;mso-position-vertical-relative:page;z-index:251660288;mso-width-relative:page;mso-height-relative:page;" fillcolor="#000000" filled="t" stroked="f" coordsize="180,10" o:allowincell="f" o:gfxdata="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tcVy9kAAAANAQAADwAAAAAAAAABACAAAAAi&#10;AAAAZHJzL2Rvd25yZXYueG1sUEsBAhQAFAAAAAgAh07iQCcVhDMJAgAAdQQAAA4AAAAAAAAAAQAg&#10;AAAAKAEAAGRycy9lMm9Eb2MueG1sUEsFBgAAAAAGAAYAWQEAAKMFAAAAAA==&#10;" path="m0,0l180,0,180,9,0,9,0,0xe">
              <v:fill on="t" focussize="0,0"/>
              <v:stroke on="f"/>
              <v:imagedata o:title=""/>
              <o:lock v:ext="edit" aspectratio="f"/>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9461F">
    <w:pPr>
      <w:pStyle w:val="11"/>
      <w:kinsoku/>
      <w:autoSpaceDE/>
      <w:autoSpaceDN/>
      <w:adjustRightInd/>
      <w:spacing w:line="240" w:lineRule="auto"/>
      <w:jc w:val="center"/>
      <w:textAlignment w:val="auto"/>
      <w:rPr>
        <w:rFonts w:ascii="Times New Roman" w:hAnsi="Times New Roman" w:eastAsia="宋体" w:cs="Times New Roman"/>
        <w:snapToGr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DC17F">
    <w:pPr>
      <w:widowControl w:val="0"/>
      <w:kinsoku/>
      <w:autoSpaceDE/>
      <w:autoSpaceDN/>
      <w:adjustRightInd/>
      <w:snapToGrid/>
      <w:spacing w:line="240" w:lineRule="auto"/>
      <w:jc w:val="both"/>
      <w:textAlignment w:val="auto"/>
      <w:rPr>
        <w:rFonts w:ascii="等线" w:hAnsi="等线" w:eastAsia="等线" w:cs="Times New Roman"/>
        <w:snapToGrid/>
        <w:kern w:val="2"/>
        <w:szCs w:val="24"/>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B256">
    <w:pPr>
      <w:widowControl w:val="0"/>
      <w:kinsoku/>
      <w:autoSpaceDE/>
      <w:autoSpaceDN/>
      <w:adjustRightInd/>
      <w:snapToGrid/>
      <w:spacing w:line="240" w:lineRule="auto"/>
      <w:jc w:val="both"/>
      <w:textAlignment w:val="auto"/>
      <w:rPr>
        <w:rFonts w:ascii="仿宋_GB2312" w:hAnsi="黑体" w:eastAsia="仿宋_GB2312" w:cs="Times New Roman"/>
        <w:snapToGrid/>
        <w:kern w:val="2"/>
        <w:sz w:val="18"/>
        <w:szCs w:val="18"/>
        <w:lang w:eastAsia="zh-CN"/>
      </w:rPr>
    </w:pPr>
    <w:r>
      <w:rPr>
        <w:rFonts w:hint="eastAsia" w:ascii="仿宋_GB2312" w:hAnsi="黑体" w:eastAsia="仿宋_GB2312" w:cs="Times New Roman"/>
        <w:snapToGrid/>
        <w:kern w:val="2"/>
        <w:sz w:val="18"/>
        <w:szCs w:val="18"/>
        <w:lang w:eastAsia="zh-CN"/>
      </w:rPr>
      <w:t xml:space="preserve">    </w:t>
    </w:r>
  </w:p>
  <w:p w14:paraId="3CC0D0FD">
    <w:pPr>
      <w:widowControl w:val="0"/>
      <w:kinsoku/>
      <w:autoSpaceDE/>
      <w:autoSpaceDN/>
      <w:adjustRightInd/>
      <w:snapToGrid/>
      <w:spacing w:line="240" w:lineRule="auto"/>
      <w:jc w:val="both"/>
      <w:textAlignment w:val="auto"/>
      <w:rPr>
        <w:rFonts w:hint="eastAsia" w:ascii="仿宋_GB2312" w:hAnsi="黑体" w:eastAsia="仿宋_GB2312" w:cs="Times New Roman"/>
        <w:snapToGrid/>
        <w:kern w:val="2"/>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4D942"/>
    <w:multiLevelType w:val="singleLevel"/>
    <w:tmpl w:val="E1E4D942"/>
    <w:lvl w:ilvl="0" w:tentative="0">
      <w:start w:val="1"/>
      <w:numFmt w:val="chineseCounting"/>
      <w:suff w:val="nothing"/>
      <w:lvlText w:val="（%1）"/>
      <w:lvlJc w:val="left"/>
      <w:pPr>
        <w:ind w:left="0" w:firstLine="420"/>
      </w:pPr>
      <w:rPr>
        <w:rFonts w:hint="eastAsia"/>
      </w:rPr>
    </w:lvl>
  </w:abstractNum>
  <w:abstractNum w:abstractNumId="1">
    <w:nsid w:val="E7151D1C"/>
    <w:multiLevelType w:val="singleLevel"/>
    <w:tmpl w:val="E7151D1C"/>
    <w:lvl w:ilvl="0" w:tentative="0">
      <w:start w:val="1"/>
      <w:numFmt w:val="chineseCounting"/>
      <w:suff w:val="nothing"/>
      <w:lvlText w:val="（%1）"/>
      <w:lvlJc w:val="left"/>
      <w:pPr>
        <w:ind w:left="0" w:firstLine="420"/>
      </w:pPr>
      <w:rPr>
        <w:rFonts w:hint="eastAsia"/>
      </w:rPr>
    </w:lvl>
  </w:abstractNum>
  <w:abstractNum w:abstractNumId="2">
    <w:nsid w:val="010B216D"/>
    <w:multiLevelType w:val="multilevel"/>
    <w:tmpl w:val="010B216D"/>
    <w:lvl w:ilvl="0" w:tentative="0">
      <w:start w:val="1"/>
      <w:numFmt w:val="decimal"/>
      <w:lvlText w:val="%1."/>
      <w:lvlJc w:val="left"/>
      <w:pPr>
        <w:tabs>
          <w:tab w:val="left" w:pos="425"/>
        </w:tabs>
        <w:ind w:left="425" w:hanging="425"/>
      </w:pPr>
      <w:rPr>
        <w:rFonts w:hint="eastAsia"/>
        <w:b/>
        <w:i w:val="0"/>
        <w:sz w:val="28"/>
        <w:szCs w:val="28"/>
      </w:rPr>
    </w:lvl>
    <w:lvl w:ilvl="1" w:tentative="0">
      <w:start w:val="1"/>
      <w:numFmt w:val="japaneseCounting"/>
      <w:lvlText w:val="%2、"/>
      <w:lvlJc w:val="left"/>
      <w:pPr>
        <w:tabs>
          <w:tab w:val="left" w:pos="567"/>
        </w:tabs>
        <w:ind w:left="567" w:hanging="567"/>
      </w:pPr>
      <w:rPr>
        <w:rFonts w:ascii="仿宋_GB2312" w:hAnsi="仿宋_GB2312" w:eastAsia="仿宋_GB2312" w:cs="Times New Roman"/>
        <w:b/>
        <w:i w:val="0"/>
        <w:sz w:val="21"/>
        <w:szCs w:val="21"/>
      </w:rPr>
    </w:lvl>
    <w:lvl w:ilvl="2" w:tentative="0">
      <w:start w:val="1"/>
      <w:numFmt w:val="decimal"/>
      <w:lvlText w:val="%3."/>
      <w:lvlJc w:val="left"/>
      <w:pPr>
        <w:tabs>
          <w:tab w:val="left" w:pos="960"/>
        </w:tabs>
        <w:ind w:left="960" w:hanging="420"/>
      </w:pPr>
      <w:rPr>
        <w:rFonts w:hint="eastAsia"/>
        <w:b/>
        <w:i w:val="0"/>
        <w:sz w:val="28"/>
        <w:szCs w:val="28"/>
      </w:rPr>
    </w:lvl>
    <w:lvl w:ilvl="3" w:tentative="0">
      <w:start w:val="1"/>
      <w:numFmt w:val="decimal"/>
      <w:pStyle w:val="2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450AFF0B"/>
    <w:multiLevelType w:val="singleLevel"/>
    <w:tmpl w:val="450AFF0B"/>
    <w:lvl w:ilvl="0" w:tentative="0">
      <w:start w:val="1"/>
      <w:numFmt w:val="chineseCounting"/>
      <w:suff w:val="nothing"/>
      <w:lvlText w:val="（%1）"/>
      <w:lvlJc w:val="left"/>
      <w:pPr>
        <w:ind w:left="0" w:firstLine="420"/>
      </w:pPr>
      <w:rPr>
        <w:rFonts w:hint="eastAsia"/>
      </w:rPr>
    </w:lvl>
  </w:abstractNum>
  <w:abstractNum w:abstractNumId="4">
    <w:nsid w:val="5285C879"/>
    <w:multiLevelType w:val="singleLevel"/>
    <w:tmpl w:val="5285C879"/>
    <w:lvl w:ilvl="0" w:tentative="0">
      <w:start w:val="1"/>
      <w:numFmt w:val="decimal"/>
      <w:lvlText w:val="%1."/>
      <w:lvlJc w:val="left"/>
      <w:pPr>
        <w:tabs>
          <w:tab w:val="left" w:pos="425"/>
        </w:tabs>
        <w:ind w:left="425" w:hanging="425"/>
      </w:pPr>
      <w:rPr>
        <w:rFonts w:hint="default"/>
      </w:rPr>
    </w:lvl>
  </w:abstractNum>
  <w:abstractNum w:abstractNumId="5">
    <w:nsid w:val="63A122BC"/>
    <w:multiLevelType w:val="multilevel"/>
    <w:tmpl w:val="63A122BC"/>
    <w:lvl w:ilvl="0" w:tentative="0">
      <w:start w:val="1"/>
      <w:numFmt w:val="japaneseCounting"/>
      <w:lvlText w:val="第%1条"/>
      <w:lvlJc w:val="left"/>
      <w:pPr>
        <w:ind w:left="1440" w:hanging="96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1C04F63"/>
    <w:rsid w:val="06644BEA"/>
    <w:rsid w:val="09946077"/>
    <w:rsid w:val="10BA0E7C"/>
    <w:rsid w:val="12164600"/>
    <w:rsid w:val="131A74E6"/>
    <w:rsid w:val="16253698"/>
    <w:rsid w:val="16640E53"/>
    <w:rsid w:val="16C820B2"/>
    <w:rsid w:val="16FC76F1"/>
    <w:rsid w:val="180C66F5"/>
    <w:rsid w:val="18750E20"/>
    <w:rsid w:val="1B6B1404"/>
    <w:rsid w:val="1D6C08FB"/>
    <w:rsid w:val="1D817690"/>
    <w:rsid w:val="1DF12B02"/>
    <w:rsid w:val="1FD52C50"/>
    <w:rsid w:val="20842D5D"/>
    <w:rsid w:val="24F25FE1"/>
    <w:rsid w:val="28632B39"/>
    <w:rsid w:val="2A506E02"/>
    <w:rsid w:val="2D31540F"/>
    <w:rsid w:val="2EB8596B"/>
    <w:rsid w:val="2F7215C9"/>
    <w:rsid w:val="31A237FE"/>
    <w:rsid w:val="31DE5392"/>
    <w:rsid w:val="321D1709"/>
    <w:rsid w:val="33BF4A72"/>
    <w:rsid w:val="34BA671B"/>
    <w:rsid w:val="393A5AF3"/>
    <w:rsid w:val="3BA86774"/>
    <w:rsid w:val="3CE877ED"/>
    <w:rsid w:val="3D1126B1"/>
    <w:rsid w:val="3D891EC0"/>
    <w:rsid w:val="3E2C029C"/>
    <w:rsid w:val="47A20DCD"/>
    <w:rsid w:val="4A034E90"/>
    <w:rsid w:val="4A2E54CC"/>
    <w:rsid w:val="4B4A4EF5"/>
    <w:rsid w:val="4C003B3D"/>
    <w:rsid w:val="4F8644A0"/>
    <w:rsid w:val="52587786"/>
    <w:rsid w:val="548C3A9D"/>
    <w:rsid w:val="55B25A74"/>
    <w:rsid w:val="56D14F89"/>
    <w:rsid w:val="58E9392B"/>
    <w:rsid w:val="5ADA4B12"/>
    <w:rsid w:val="5B525F65"/>
    <w:rsid w:val="5E5E18DF"/>
    <w:rsid w:val="60307AFE"/>
    <w:rsid w:val="647C698B"/>
    <w:rsid w:val="65CC501A"/>
    <w:rsid w:val="666317A7"/>
    <w:rsid w:val="67583891"/>
    <w:rsid w:val="6ACC7C92"/>
    <w:rsid w:val="6F1F53E4"/>
    <w:rsid w:val="721431E4"/>
    <w:rsid w:val="729A6A4A"/>
    <w:rsid w:val="75077D4C"/>
    <w:rsid w:val="75481873"/>
    <w:rsid w:val="776945E1"/>
    <w:rsid w:val="7F2806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qFormat/>
    <w:uiPriority w:val="0"/>
    <w:pPr>
      <w:keepNext/>
      <w:keepLines/>
      <w:widowControl w:val="0"/>
      <w:spacing w:before="260" w:beforeLines="0" w:after="260" w:afterLines="0" w:line="416" w:lineRule="auto"/>
      <w:jc w:val="both"/>
      <w:outlineLvl w:val="1"/>
    </w:pPr>
    <w:rPr>
      <w:rFonts w:ascii="Arial" w:hAnsi="Arial" w:eastAsia="黑体" w:cs="Times New Roman"/>
      <w:b/>
      <w:bCs/>
      <w:kern w:val="2"/>
      <w:sz w:val="32"/>
      <w:szCs w:val="32"/>
      <w:lang w:val="en-US" w:eastAsia="zh-CN" w:bidi="ar-SA"/>
    </w:rPr>
  </w:style>
  <w:style w:type="character" w:default="1" w:styleId="15">
    <w:name w:val="Default Paragraph Font"/>
    <w:semiHidden/>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toc 2"/>
    <w:basedOn w:val="1"/>
    <w:next w:val="1"/>
    <w:semiHidden/>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6">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7">
    <w:name w:val="Normal Indent"/>
    <w:next w:val="8"/>
    <w:qFormat/>
    <w:uiPriority w:val="0"/>
    <w:pPr>
      <w:widowControl w:val="0"/>
      <w:snapToGrid w:val="0"/>
      <w:spacing w:beforeLines="50"/>
      <w:ind w:firstLine="420"/>
      <w:contextualSpacing/>
      <w:jc w:val="both"/>
    </w:pPr>
    <w:rPr>
      <w:rFonts w:ascii="Times New Roman" w:hAnsi="Times New Roman" w:eastAsia="仿宋_GB2312" w:cs="Times New Roman"/>
      <w:kern w:val="2"/>
      <w:sz w:val="28"/>
      <w:szCs w:val="20"/>
      <w:lang w:val="en-US" w:eastAsia="zh-CN" w:bidi="ar-SA"/>
    </w:rPr>
  </w:style>
  <w:style w:type="paragraph" w:styleId="8">
    <w:name w:val="toc 4"/>
    <w:next w:val="1"/>
    <w:qFormat/>
    <w:uiPriority w:val="39"/>
    <w:pPr>
      <w:widowControl w:val="0"/>
      <w:autoSpaceDE w:val="0"/>
      <w:autoSpaceDN w:val="0"/>
      <w:adjustRightInd w:val="0"/>
      <w:ind w:left="1260"/>
      <w:jc w:val="both"/>
    </w:pPr>
    <w:rPr>
      <w:rFonts w:ascii="宋体" w:hAnsi="Times New Roman" w:eastAsia="宋体" w:cs="Times New Roman"/>
      <w:kern w:val="0"/>
      <w:sz w:val="21"/>
      <w:szCs w:val="20"/>
      <w:lang w:val="en-US" w:eastAsia="zh-CN" w:bidi="ar-SA"/>
    </w:rPr>
  </w:style>
  <w:style w:type="paragraph" w:styleId="9">
    <w:name w:val="annotation text"/>
    <w:basedOn w:val="1"/>
    <w:semiHidden/>
    <w:qFormat/>
    <w:uiPriority w:val="0"/>
    <w:pPr>
      <w:jc w:val="left"/>
    </w:pPr>
  </w:style>
  <w:style w:type="paragraph" w:styleId="10">
    <w:name w:val="Plain Text"/>
    <w:basedOn w:val="1"/>
    <w:next w:val="6"/>
    <w:qFormat/>
    <w:uiPriority w:val="0"/>
    <w:pPr>
      <w:widowControl w:val="0"/>
      <w:spacing w:line="360" w:lineRule="auto"/>
      <w:ind w:firstLine="510"/>
      <w:jc w:val="both"/>
    </w:pPr>
    <w:rPr>
      <w:rFonts w:ascii="宋体" w:hAnsi="Courier New" w:eastAsia="宋体" w:cs="Times New Roman"/>
      <w:kern w:val="2"/>
      <w:sz w:val="24"/>
      <w:szCs w:val="20"/>
      <w:lang w:val="en-US" w:eastAsia="zh-CN" w:bidi="ar-SA"/>
    </w:rPr>
  </w:style>
  <w:style w:type="paragraph" w:styleId="11">
    <w:name w:val="footer"/>
    <w:basedOn w:val="1"/>
    <w:qFormat/>
    <w:uiPriority w:val="0"/>
    <w:pPr>
      <w:widowControl w:val="0"/>
      <w:pBdr>
        <w:top w:val="single" w:color="auto" w:sz="4" w:space="1"/>
      </w:pBdr>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unhideWhenUsed/>
    <w:qFormat/>
    <w:uiPriority w:val="0"/>
    <w:pPr>
      <w:widowControl/>
      <w:spacing w:before="100" w:beforeLines="0" w:beforeAutospacing="1" w:after="100" w:afterLines="0" w:afterAutospacing="1"/>
      <w:jc w:val="left"/>
    </w:pPr>
    <w:rPr>
      <w:rFonts w:ascii="宋体" w:hAnsi="宋体" w:cs="宋体"/>
      <w:kern w:val="0"/>
      <w:sz w:val="24"/>
    </w:rPr>
  </w:style>
  <w:style w:type="character" w:styleId="16">
    <w:name w:val="Strong"/>
    <w:qFormat/>
    <w:uiPriority w:val="0"/>
    <w:rPr>
      <w:b/>
    </w:rPr>
  </w:style>
  <w:style w:type="character" w:styleId="17">
    <w:name w:val="page number"/>
    <w:qFormat/>
    <w:uiPriority w:val="0"/>
    <w:rPr>
      <w:rFonts w:ascii="宋体" w:hAnsi="宋体" w:eastAsia="Times New Roman"/>
      <w:spacing w:val="0"/>
      <w:kern w:val="18"/>
      <w:position w:val="0"/>
      <w:sz w:val="18"/>
      <w:szCs w:val="18"/>
    </w:rPr>
  </w:style>
  <w:style w:type="paragraph" w:customStyle="1" w:styleId="18">
    <w:name w:val="_Style 3"/>
    <w:basedOn w:val="1"/>
    <w:qFormat/>
    <w:uiPriority w:val="0"/>
    <w:pPr>
      <w:ind w:firstLine="420" w:firstLineChars="200"/>
    </w:pPr>
    <w:rPr>
      <w:sz w:val="24"/>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0"/>
      <w:szCs w:val="20"/>
      <w:lang w:val="en-US" w:eastAsia="en-US" w:bidi="ar-SA"/>
    </w:rPr>
  </w:style>
  <w:style w:type="paragraph" w:customStyle="1" w:styleId="21">
    <w:name w:val="彩色列表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3">
    <w:name w:val="段"/>
    <w:qFormat/>
    <w:uiPriority w:val="0"/>
    <w:pPr>
      <w:numPr>
        <w:ilvl w:val="3"/>
        <w:numId w:val="1"/>
      </w:numPr>
      <w:autoSpaceDE w:val="0"/>
      <w:autoSpaceDN w:val="0"/>
      <w:ind w:left="0" w:firstLine="200" w:firstLineChars="200"/>
      <w:jc w:val="both"/>
    </w:pPr>
    <w:rPr>
      <w:rFonts w:ascii="宋体" w:hAnsi="Times New Roman" w:eastAsia="宋体" w:cs="Times New Roman"/>
      <w:sz w:val="21"/>
      <w:szCs w:val="20"/>
      <w:lang w:val="en-US" w:eastAsia="zh-CN" w:bidi="ar-SA"/>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_Style 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4229</Words>
  <Characters>4564</Characters>
  <TotalTime>81</TotalTime>
  <ScaleCrop>false</ScaleCrop>
  <LinksUpToDate>false</LinksUpToDate>
  <CharactersWithSpaces>4589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2024-11-18T09:41:00Z</dcterms:created>
  <dc:creator>盈科律师</dc:creator>
  <cp:lastModifiedBy>周臻妍</cp:lastModifiedBy>
  <cp:lastPrinted>2026-06-25T02:55:04Z</cp:lastPrinted>
  <dcterms:modified xsi:type="dcterms:W3CDTF">2026-06-25T03:00:37Z</dcterms:modified>
  <dc:title>广州市政府采购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2025-09-11T11:10:53Z</vt:filetime>
  </property>
  <property fmtid="{D5CDD505-2E9C-101B-9397-08002B2CF9AE}" pid="4" name="KSOTemplateDocerSaveRecord">
    <vt:lpwstr>eyJoZGlkIjoiNzhlYzJmNTcyZmVkYmI4ZTU3ZTRmZDY2M2ZmZGFlZjAiLCJ1c2VySWQiOiIxNzA1OTgwOTI3In0=</vt:lpwstr>
  </property>
  <property fmtid="{D5CDD505-2E9C-101B-9397-08002B2CF9AE}" pid="5" name="KSOProductBuildVer">
    <vt:lpwstr>2052-12.1.0.26895</vt:lpwstr>
  </property>
  <property fmtid="{D5CDD505-2E9C-101B-9397-08002B2CF9AE}" pid="6" name="ICV">
    <vt:lpwstr>6EB1FB51E4104F638C1D01EE31439DE1_13</vt:lpwstr>
  </property>
</Properties>
</file>