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1"/>
        <w:jc w:val="center"/>
        <w:rPr>
          <w:rFonts w:hint="eastAsia" w:ascii="宋体" w:hAnsi="宋体" w:cs="宋体"/>
          <w:b/>
          <w:spacing w:val="100"/>
          <w:sz w:val="96"/>
          <w:szCs w:val="96"/>
          <w:highlight w:val="none"/>
        </w:rPr>
      </w:pPr>
    </w:p>
    <w:p>
      <w:pPr>
        <w:jc w:val="center"/>
        <w:rPr>
          <w:rFonts w:hint="eastAsia" w:ascii="宋体" w:hAnsi="宋体" w:cs="宋体"/>
          <w:bCs/>
          <w:color w:val="000000"/>
          <w:w w:val="150"/>
          <w:sz w:val="30"/>
          <w:szCs w:val="30"/>
          <w:highlight w:val="none"/>
        </w:rPr>
      </w:pPr>
      <w:r>
        <w:rPr>
          <w:rFonts w:hint="eastAsia" w:ascii="宋体" w:hAnsi="宋体" w:cs="宋体"/>
          <w:b/>
          <w:color w:val="000000"/>
          <w:sz w:val="52"/>
          <w:szCs w:val="52"/>
          <w:highlight w:val="none"/>
        </w:rPr>
        <w:t xml:space="preserve"> </w:t>
      </w:r>
    </w:p>
    <w:p>
      <w:pPr>
        <w:spacing w:line="360" w:lineRule="auto"/>
        <w:jc w:val="center"/>
        <w:rPr>
          <w:rFonts w:hint="eastAsia" w:ascii="宋体" w:hAnsi="宋体" w:cs="宋体"/>
          <w:b/>
          <w:sz w:val="52"/>
          <w:szCs w:val="48"/>
          <w:highlight w:val="none"/>
        </w:rPr>
      </w:pPr>
      <w:r>
        <w:rPr>
          <w:rFonts w:hint="eastAsia" w:ascii="宋体" w:hAnsi="宋体" w:cs="宋体"/>
          <w:b/>
          <w:sz w:val="52"/>
          <w:szCs w:val="48"/>
          <w:highlight w:val="none"/>
        </w:rPr>
        <w:t>2026年度城享慧商业会员系统建设与运营服务项目</w:t>
      </w:r>
      <w:bookmarkStart w:id="29" w:name="_GoBack"/>
      <w:bookmarkEnd w:id="29"/>
    </w:p>
    <w:p>
      <w:pPr>
        <w:spacing w:line="360" w:lineRule="auto"/>
        <w:jc w:val="center"/>
        <w:rPr>
          <w:rFonts w:hint="eastAsia" w:ascii="宋体" w:hAnsi="宋体" w:cs="宋体"/>
          <w:b/>
          <w:w w:val="150"/>
          <w:sz w:val="18"/>
          <w:szCs w:val="18"/>
          <w:highlight w:val="none"/>
        </w:rPr>
      </w:pPr>
    </w:p>
    <w:p>
      <w:pPr>
        <w:spacing w:line="360" w:lineRule="auto"/>
        <w:jc w:val="center"/>
        <w:rPr>
          <w:rFonts w:hint="eastAsia" w:ascii="宋体" w:hAnsi="宋体" w:cs="宋体"/>
          <w:b/>
          <w:w w:val="150"/>
          <w:sz w:val="18"/>
          <w:szCs w:val="18"/>
          <w:highlight w:val="none"/>
        </w:rPr>
      </w:pPr>
    </w:p>
    <w:p>
      <w:pPr>
        <w:spacing w:line="360" w:lineRule="auto"/>
        <w:jc w:val="center"/>
        <w:rPr>
          <w:rFonts w:hint="eastAsia" w:ascii="宋体" w:hAnsi="宋体" w:cs="宋体"/>
          <w:b/>
          <w:w w:val="150"/>
          <w:sz w:val="18"/>
          <w:szCs w:val="18"/>
          <w:highlight w:val="none"/>
        </w:rPr>
      </w:pPr>
    </w:p>
    <w:p>
      <w:pPr>
        <w:spacing w:line="360" w:lineRule="auto"/>
        <w:jc w:val="center"/>
        <w:rPr>
          <w:rFonts w:hint="eastAsia" w:ascii="宋体" w:hAnsi="宋体" w:cs="宋体"/>
          <w:b/>
          <w:sz w:val="84"/>
          <w:szCs w:val="84"/>
          <w:highlight w:val="none"/>
        </w:rPr>
      </w:pPr>
      <w:r>
        <w:rPr>
          <w:rFonts w:hint="eastAsia" w:ascii="宋体" w:hAnsi="宋体" w:cs="宋体"/>
          <w:b/>
          <w:sz w:val="84"/>
          <w:szCs w:val="84"/>
          <w:highlight w:val="none"/>
        </w:rPr>
        <w:t>竞选采购文件</w:t>
      </w:r>
    </w:p>
    <w:p>
      <w:pPr>
        <w:ind w:firstLine="1247" w:firstLineChars="345"/>
        <w:rPr>
          <w:rFonts w:hint="eastAsia" w:ascii="宋体" w:hAnsi="宋体" w:cs="宋体"/>
          <w:b/>
          <w:bCs/>
          <w:sz w:val="36"/>
          <w:szCs w:val="36"/>
          <w:highlight w:val="none"/>
        </w:rPr>
      </w:pPr>
    </w:p>
    <w:p>
      <w:pPr>
        <w:rPr>
          <w:rFonts w:hint="eastAsia" w:ascii="宋体" w:hAnsi="宋体" w:cs="宋体"/>
          <w:b/>
          <w:bCs/>
          <w:sz w:val="36"/>
          <w:szCs w:val="36"/>
          <w:highlight w:val="none"/>
        </w:rPr>
      </w:pPr>
    </w:p>
    <w:p>
      <w:pPr>
        <w:ind w:firstLine="1247" w:firstLineChars="345"/>
        <w:rPr>
          <w:rFonts w:hint="eastAsia" w:ascii="宋体" w:hAnsi="宋体" w:cs="宋体"/>
          <w:b/>
          <w:bCs/>
          <w:sz w:val="36"/>
          <w:szCs w:val="36"/>
          <w:highlight w:val="none"/>
        </w:rPr>
      </w:pPr>
    </w:p>
    <w:p>
      <w:pPr>
        <w:ind w:firstLine="1247" w:firstLineChars="345"/>
        <w:rPr>
          <w:rFonts w:hint="eastAsia" w:ascii="宋体" w:hAnsi="宋体" w:cs="宋体"/>
          <w:b/>
          <w:bCs/>
          <w:sz w:val="36"/>
          <w:szCs w:val="36"/>
          <w:highlight w:val="none"/>
        </w:rPr>
      </w:pPr>
    </w:p>
    <w:p>
      <w:pPr>
        <w:rPr>
          <w:rFonts w:hint="eastAsia" w:ascii="宋体" w:hAnsi="宋体" w:cs="宋体"/>
          <w:b/>
          <w:bCs/>
          <w:sz w:val="36"/>
          <w:szCs w:val="36"/>
          <w:highlight w:val="none"/>
        </w:rPr>
      </w:pPr>
    </w:p>
    <w:p>
      <w:pPr>
        <w:rPr>
          <w:rFonts w:hint="eastAsia" w:ascii="宋体" w:hAnsi="宋体" w:cs="宋体"/>
          <w:b/>
          <w:bCs/>
          <w:sz w:val="36"/>
          <w:szCs w:val="36"/>
          <w:highlight w:val="none"/>
        </w:rPr>
      </w:pPr>
    </w:p>
    <w:p>
      <w:pPr>
        <w:jc w:val="center"/>
        <w:rPr>
          <w:rFonts w:hint="eastAsia" w:ascii="宋体" w:hAnsi="宋体" w:cs="宋体"/>
          <w:b/>
          <w:bCs/>
          <w:sz w:val="36"/>
          <w:szCs w:val="36"/>
          <w:highlight w:val="none"/>
        </w:rPr>
      </w:pPr>
    </w:p>
    <w:p>
      <w:pPr>
        <w:jc w:val="center"/>
        <w:rPr>
          <w:rFonts w:hint="eastAsia" w:ascii="宋体" w:hAnsi="宋体" w:cs="宋体"/>
          <w:b/>
          <w:bCs/>
          <w:color w:val="000000"/>
          <w:sz w:val="32"/>
          <w:szCs w:val="32"/>
          <w:highlight w:val="none"/>
        </w:rPr>
      </w:pPr>
      <w:r>
        <w:rPr>
          <w:rFonts w:hint="eastAsia" w:ascii="宋体" w:hAnsi="宋体" w:cs="宋体"/>
          <w:b/>
          <w:bCs/>
          <w:sz w:val="32"/>
          <w:szCs w:val="32"/>
          <w:highlight w:val="none"/>
        </w:rPr>
        <w:t>2026</w:t>
      </w:r>
      <w:r>
        <w:rPr>
          <w:rFonts w:hint="eastAsia" w:ascii="宋体" w:hAnsi="宋体" w:cs="宋体"/>
          <w:b/>
          <w:bCs/>
          <w:color w:val="000000"/>
          <w:sz w:val="32"/>
          <w:szCs w:val="32"/>
          <w:highlight w:val="none"/>
        </w:rPr>
        <w:t>年2月</w:t>
      </w:r>
    </w:p>
    <w:p>
      <w:pPr>
        <w:pStyle w:val="7"/>
        <w:widowControl/>
        <w:autoSpaceDE/>
        <w:autoSpaceDN/>
        <w:adjustRightInd/>
        <w:snapToGrid/>
        <w:jc w:val="center"/>
        <w:rPr>
          <w:rFonts w:hint="eastAsia" w:ascii="楷体" w:hAnsi="楷体" w:eastAsia="楷体" w:cs="楷体"/>
          <w:b/>
          <w:color w:val="333333"/>
          <w:sz w:val="36"/>
          <w:szCs w:val="36"/>
          <w:highlight w:val="none"/>
        </w:rPr>
      </w:pPr>
      <w:bookmarkStart w:id="0" w:name="_Toc334797727"/>
      <w:r>
        <w:rPr>
          <w:rFonts w:hint="eastAsia" w:ascii="楷体" w:hAnsi="楷体" w:eastAsia="楷体" w:cs="楷体"/>
          <w:b/>
          <w:color w:val="333333"/>
          <w:sz w:val="36"/>
          <w:szCs w:val="36"/>
          <w:highlight w:val="none"/>
        </w:rPr>
        <w:t>2026年度城享慧商业会员</w:t>
      </w:r>
    </w:p>
    <w:p>
      <w:pPr>
        <w:pStyle w:val="7"/>
        <w:widowControl/>
        <w:autoSpaceDE/>
        <w:autoSpaceDN/>
        <w:adjustRightInd/>
        <w:snapToGrid/>
        <w:jc w:val="center"/>
        <w:rPr>
          <w:rFonts w:hint="eastAsia" w:hAnsi="宋体"/>
          <w:bCs/>
          <w:sz w:val="36"/>
          <w:highlight w:val="none"/>
        </w:rPr>
      </w:pPr>
      <w:r>
        <w:rPr>
          <w:rFonts w:hint="eastAsia" w:ascii="楷体" w:hAnsi="楷体" w:eastAsia="楷体" w:cs="楷体"/>
          <w:b/>
          <w:color w:val="333333"/>
          <w:sz w:val="36"/>
          <w:szCs w:val="36"/>
          <w:highlight w:val="none"/>
        </w:rPr>
        <w:t>系统建设与运营服务项目采购公告</w:t>
      </w:r>
    </w:p>
    <w:p>
      <w:pPr>
        <w:pStyle w:val="25"/>
        <w:spacing w:before="0" w:beforeAutospacing="0" w:after="0" w:afterAutospacing="0" w:line="360" w:lineRule="auto"/>
        <w:ind w:firstLine="645"/>
        <w:jc w:val="both"/>
        <w:rPr>
          <w:rFonts w:hint="eastAsia"/>
          <w:highlight w:val="none"/>
        </w:rPr>
      </w:pPr>
    </w:p>
    <w:p>
      <w:pPr>
        <w:pStyle w:val="25"/>
        <w:spacing w:before="0" w:beforeAutospacing="0" w:after="0" w:afterAutospacing="0" w:line="360" w:lineRule="auto"/>
        <w:ind w:firstLine="480" w:firstLineChars="200"/>
        <w:rPr>
          <w:rFonts w:hint="eastAsia"/>
          <w:highlight w:val="none"/>
        </w:rPr>
      </w:pPr>
      <w:r>
        <w:rPr>
          <w:rFonts w:hint="eastAsia"/>
          <w:highlight w:val="none"/>
        </w:rPr>
        <w:t>广州市城投资产经营管理有限公司（以下简称“采购方”）就以下采购项目进行公开采购，欢迎符合资格条件的竞投人参与。</w:t>
      </w:r>
    </w:p>
    <w:p>
      <w:pPr>
        <w:pStyle w:val="25"/>
        <w:spacing w:before="0" w:beforeAutospacing="0" w:after="0" w:afterAutospacing="0" w:line="360" w:lineRule="auto"/>
        <w:ind w:firstLine="482" w:firstLineChars="200"/>
        <w:rPr>
          <w:rStyle w:val="30"/>
          <w:rFonts w:hint="eastAsia"/>
          <w:bCs/>
          <w:highlight w:val="none"/>
        </w:rPr>
      </w:pPr>
      <w:r>
        <w:rPr>
          <w:rStyle w:val="30"/>
          <w:rFonts w:hint="eastAsia"/>
          <w:bCs/>
          <w:highlight w:val="none"/>
        </w:rPr>
        <w:t>一、项目名称</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2026年度城享慧商业会员系统建设与运营服务项目</w:t>
      </w:r>
    </w:p>
    <w:p>
      <w:pPr>
        <w:pStyle w:val="25"/>
        <w:spacing w:before="0" w:beforeAutospacing="0" w:after="0" w:afterAutospacing="0" w:line="360" w:lineRule="auto"/>
        <w:ind w:firstLine="482" w:firstLineChars="200"/>
        <w:jc w:val="both"/>
        <w:rPr>
          <w:rStyle w:val="30"/>
          <w:rFonts w:hint="eastAsia"/>
          <w:bCs/>
          <w:highlight w:val="none"/>
        </w:rPr>
      </w:pPr>
      <w:r>
        <w:rPr>
          <w:rStyle w:val="30"/>
          <w:rFonts w:hint="eastAsia"/>
          <w:bCs/>
          <w:highlight w:val="none"/>
        </w:rPr>
        <w:t>二、项目类别</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服务</w:t>
      </w:r>
    </w:p>
    <w:p>
      <w:pPr>
        <w:pStyle w:val="25"/>
        <w:spacing w:before="0" w:beforeAutospacing="0" w:after="0" w:afterAutospacing="0" w:line="360" w:lineRule="auto"/>
        <w:ind w:firstLine="482" w:firstLineChars="200"/>
        <w:jc w:val="both"/>
        <w:rPr>
          <w:rStyle w:val="30"/>
          <w:rFonts w:hint="eastAsia"/>
          <w:bCs/>
          <w:highlight w:val="none"/>
        </w:rPr>
      </w:pPr>
      <w:r>
        <w:rPr>
          <w:rStyle w:val="30"/>
          <w:rFonts w:hint="eastAsia"/>
          <w:bCs/>
          <w:highlight w:val="none"/>
        </w:rPr>
        <w:t>三、采购方式</w:t>
      </w:r>
    </w:p>
    <w:p>
      <w:pPr>
        <w:pStyle w:val="25"/>
        <w:spacing w:before="0" w:beforeAutospacing="0" w:after="0" w:afterAutospacing="0" w:line="360" w:lineRule="auto"/>
        <w:ind w:firstLine="480" w:firstLineChars="200"/>
        <w:jc w:val="both"/>
        <w:rPr>
          <w:rStyle w:val="30"/>
          <w:rFonts w:hint="eastAsia"/>
          <w:bCs/>
          <w:highlight w:val="none"/>
        </w:rPr>
      </w:pPr>
      <w:r>
        <w:rPr>
          <w:rFonts w:hint="eastAsia"/>
          <w:highlight w:val="none"/>
        </w:rPr>
        <w:t>竞选采购</w:t>
      </w:r>
    </w:p>
    <w:p>
      <w:pPr>
        <w:pStyle w:val="25"/>
        <w:numPr>
          <w:ilvl w:val="0"/>
          <w:numId w:val="1"/>
        </w:numPr>
        <w:spacing w:before="0" w:beforeAutospacing="0" w:after="0" w:afterAutospacing="0" w:line="360" w:lineRule="auto"/>
        <w:ind w:firstLine="482" w:firstLineChars="200"/>
        <w:jc w:val="both"/>
        <w:rPr>
          <w:rStyle w:val="30"/>
          <w:rFonts w:hint="eastAsia"/>
          <w:bCs/>
          <w:highlight w:val="none"/>
        </w:rPr>
      </w:pPr>
      <w:r>
        <w:rPr>
          <w:rStyle w:val="30"/>
          <w:rFonts w:hint="eastAsia"/>
          <w:bCs/>
          <w:highlight w:val="none"/>
        </w:rPr>
        <w:t>采购内容</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配合经营公司本部、花城汇、城壹汇北京路店、流花中心&amp;城壹汇流花、花果山超高清视频产业特色小镇、天河新天地、南站新天地共7个家提供城享慧商业会员系统建设与运营服务：</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（一）会员系统建设</w:t>
      </w:r>
    </w:p>
    <w:p>
      <w:pPr>
        <w:pStyle w:val="25"/>
        <w:numPr>
          <w:ilvl w:val="0"/>
          <w:numId w:val="2"/>
        </w:numPr>
        <w:spacing w:before="0" w:beforeAutospacing="0" w:after="0" w:afterAutospacing="0" w:line="360" w:lineRule="auto"/>
        <w:ind w:firstLine="480"/>
        <w:jc w:val="both"/>
        <w:rPr>
          <w:rFonts w:hint="eastAsia"/>
          <w:highlight w:val="none"/>
        </w:rPr>
      </w:pPr>
      <w:r>
        <w:rPr>
          <w:rFonts w:hint="eastAsia"/>
          <w:highlight w:val="none"/>
        </w:rPr>
        <w:t>后端功能基础功能、业务功能（涵盖商业项目及写字楼项目）、积分抽奖/积分互动/游戏/会员消费类型的积分活动、特色功能等。</w:t>
      </w:r>
    </w:p>
    <w:p>
      <w:pPr>
        <w:pStyle w:val="25"/>
        <w:numPr>
          <w:ilvl w:val="0"/>
          <w:numId w:val="2"/>
        </w:numPr>
        <w:spacing w:before="0" w:beforeAutospacing="0" w:after="0" w:afterAutospacing="0" w:line="360" w:lineRule="auto"/>
        <w:ind w:firstLine="480"/>
        <w:jc w:val="both"/>
        <w:rPr>
          <w:rFonts w:hint="eastAsia"/>
          <w:highlight w:val="none"/>
        </w:rPr>
      </w:pPr>
      <w:r>
        <w:rPr>
          <w:rFonts w:hint="eastAsia"/>
          <w:highlight w:val="none"/>
        </w:rPr>
        <w:t>前端页面设计与开发包括小程序首页、小程序栏目页、小程序个人页等小程序所有页面。</w:t>
      </w:r>
    </w:p>
    <w:p>
      <w:pPr>
        <w:pStyle w:val="25"/>
        <w:numPr>
          <w:ilvl w:val="0"/>
          <w:numId w:val="2"/>
        </w:numPr>
        <w:spacing w:before="0" w:beforeAutospacing="0" w:after="0" w:afterAutospacing="0" w:line="360" w:lineRule="auto"/>
        <w:ind w:firstLine="480"/>
        <w:jc w:val="both"/>
        <w:rPr>
          <w:rFonts w:hint="eastAsia"/>
          <w:highlight w:val="none"/>
        </w:rPr>
      </w:pPr>
      <w:r>
        <w:rPr>
          <w:rFonts w:hint="eastAsia"/>
          <w:highlight w:val="none"/>
        </w:rPr>
        <w:t>注册、积分、优惠券、停车系统、企微、公众号的接口对接。</w:t>
      </w:r>
    </w:p>
    <w:p>
      <w:pPr>
        <w:pStyle w:val="25"/>
        <w:numPr>
          <w:ilvl w:val="0"/>
          <w:numId w:val="2"/>
        </w:numPr>
        <w:spacing w:before="0" w:beforeAutospacing="0" w:after="0" w:afterAutospacing="0" w:line="360" w:lineRule="auto"/>
        <w:ind w:firstLine="480"/>
        <w:jc w:val="both"/>
        <w:rPr>
          <w:rFonts w:hint="eastAsia"/>
          <w:highlight w:val="none"/>
        </w:rPr>
      </w:pPr>
      <w:r>
        <w:rPr>
          <w:rFonts w:hint="eastAsia"/>
          <w:highlight w:val="none"/>
        </w:rPr>
        <w:t>后端功能系统升级包括积分商城、小票积分、无感积分等。</w:t>
      </w:r>
    </w:p>
    <w:p>
      <w:pPr>
        <w:pStyle w:val="25"/>
        <w:numPr>
          <w:ilvl w:val="0"/>
          <w:numId w:val="2"/>
        </w:numPr>
        <w:spacing w:before="0" w:beforeAutospacing="0" w:after="0" w:afterAutospacing="0" w:line="360" w:lineRule="auto"/>
        <w:ind w:firstLine="480"/>
        <w:jc w:val="both"/>
        <w:rPr>
          <w:rFonts w:hint="eastAsia"/>
          <w:highlight w:val="none"/>
        </w:rPr>
      </w:pPr>
      <w:r>
        <w:rPr>
          <w:rFonts w:hint="eastAsia"/>
          <w:highlight w:val="none"/>
        </w:rPr>
        <w:t>后台会员管理包括会员、优惠券、品牌、到访小票审核、报名审核、广告与活动配置、权限账号管理等。</w:t>
      </w:r>
    </w:p>
    <w:p>
      <w:pPr>
        <w:pStyle w:val="25"/>
        <w:spacing w:before="0" w:beforeAutospacing="0" w:after="0" w:afterAutospacing="0" w:line="360" w:lineRule="auto"/>
        <w:ind w:left="480"/>
        <w:jc w:val="both"/>
        <w:rPr>
          <w:rFonts w:hint="eastAsia"/>
          <w:highlight w:val="none"/>
        </w:rPr>
      </w:pPr>
      <w:r>
        <w:rPr>
          <w:rFonts w:hint="eastAsia"/>
          <w:highlight w:val="none"/>
        </w:rPr>
        <w:t>（二）会员系统运营</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1. 配合总部及各项目进行会员价值体系的设计，设定/根据会员运营的价值评价指标，制定运营策略与目标指标。</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2.线上及线下会员活动创意与策划、活动设计与宣传、活动运维及复盘。</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3.线下及线上主题和物料设计。</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4.基础运维包括小程序客服、会员管理、广告位管理、优惠券管理、积分商城管理、会员积分管理等。</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5.平台月度数据统计报告及运营总结报告。</w:t>
      </w:r>
    </w:p>
    <w:p>
      <w:pPr>
        <w:pStyle w:val="25"/>
        <w:spacing w:before="0" w:beforeAutospacing="0" w:after="0" w:afterAutospacing="0" w:line="360" w:lineRule="auto"/>
        <w:ind w:firstLine="482" w:firstLineChars="200"/>
        <w:jc w:val="both"/>
        <w:rPr>
          <w:rStyle w:val="30"/>
          <w:rFonts w:hint="eastAsia"/>
          <w:bCs/>
          <w:highlight w:val="none"/>
        </w:rPr>
      </w:pPr>
      <w:r>
        <w:rPr>
          <w:rStyle w:val="30"/>
          <w:rFonts w:hint="eastAsia"/>
          <w:bCs/>
          <w:highlight w:val="none"/>
        </w:rPr>
        <w:t>五、采购控制价</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最高限价：</w:t>
      </w:r>
      <w:r>
        <w:rPr>
          <w:rFonts w:hint="eastAsia"/>
          <w:highlight w:val="none"/>
          <w:lang w:val="en-US" w:eastAsia="zh-CN"/>
        </w:rPr>
        <w:t>406,150</w:t>
      </w:r>
      <w:r>
        <w:rPr>
          <w:rFonts w:hint="eastAsia"/>
          <w:highlight w:val="none"/>
        </w:rPr>
        <w:t>元</w:t>
      </w:r>
    </w:p>
    <w:p>
      <w:pPr>
        <w:pStyle w:val="25"/>
        <w:spacing w:before="0" w:beforeAutospacing="0" w:after="0" w:afterAutospacing="0" w:line="360" w:lineRule="auto"/>
        <w:ind w:firstLine="482" w:firstLineChars="200"/>
        <w:jc w:val="both"/>
        <w:rPr>
          <w:rStyle w:val="30"/>
          <w:rFonts w:hint="eastAsia"/>
          <w:bCs/>
          <w:highlight w:val="none"/>
        </w:rPr>
      </w:pPr>
      <w:r>
        <w:rPr>
          <w:rStyle w:val="30"/>
          <w:rFonts w:hint="eastAsia"/>
          <w:bCs/>
          <w:highlight w:val="none"/>
        </w:rPr>
        <w:t>六、竞投人资格条件</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（一）竞投人必须是国内合法注册的法人或其他组织。</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二）竞投人未被中国执行信息公开网（zxgk.court.gov.cn）列入“失信被执行人”的名单，且未被信用中国网站（https://www.creditchina.gov.cn/xinxigongshi/)列入“重大税收违法失信主体”“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（三）单位负责人为同一人或者存在直接控股、管理关系的不同竞投人，不得同时参加本项目的竞投。</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（四）本项目不接受联合体竞投。</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七、公告开始时间</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2026年2月</w:t>
      </w:r>
      <w:r>
        <w:rPr>
          <w:rFonts w:hint="eastAsia"/>
          <w:highlight w:val="none"/>
          <w:lang w:val="en-US" w:eastAsia="zh-CN"/>
        </w:rPr>
        <w:t>13</w:t>
      </w:r>
      <w:r>
        <w:rPr>
          <w:rFonts w:hint="eastAsia"/>
          <w:highlight w:val="none"/>
        </w:rPr>
        <w:t>日</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八、公告结束时间</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 xml:space="preserve">2026年 </w:t>
      </w:r>
      <w:r>
        <w:rPr>
          <w:rFonts w:hint="eastAsia"/>
          <w:highlight w:val="none"/>
          <w:lang w:val="en-US" w:eastAsia="zh-CN"/>
        </w:rPr>
        <w:t>3</w:t>
      </w:r>
      <w:r>
        <w:rPr>
          <w:rFonts w:hint="eastAsia"/>
          <w:highlight w:val="none"/>
        </w:rPr>
        <w:t>月</w:t>
      </w:r>
      <w:r>
        <w:rPr>
          <w:rFonts w:hint="eastAsia"/>
          <w:highlight w:val="none"/>
          <w:lang w:val="en-US" w:eastAsia="zh-CN"/>
        </w:rPr>
        <w:t>3</w:t>
      </w:r>
      <w:r>
        <w:rPr>
          <w:rFonts w:hint="eastAsia"/>
          <w:highlight w:val="none"/>
        </w:rPr>
        <w:t>日</w:t>
      </w:r>
    </w:p>
    <w:p>
      <w:pPr>
        <w:pStyle w:val="25"/>
        <w:spacing w:before="0" w:beforeAutospacing="0" w:after="0" w:afterAutospacing="0" w:line="360" w:lineRule="auto"/>
        <w:ind w:firstLine="480" w:firstLineChars="200"/>
        <w:jc w:val="both"/>
        <w:rPr>
          <w:rStyle w:val="30"/>
          <w:rFonts w:hint="eastAsia"/>
          <w:highlight w:val="none"/>
        </w:rPr>
      </w:pPr>
      <w:r>
        <w:rPr>
          <w:rStyle w:val="30"/>
          <w:rFonts w:hint="eastAsia"/>
          <w:b w:val="0"/>
          <w:highlight w:val="none"/>
        </w:rPr>
        <w:t>九、响应文件递交截止时间</w:t>
      </w:r>
    </w:p>
    <w:p>
      <w:pPr>
        <w:pStyle w:val="25"/>
        <w:spacing w:before="0" w:beforeAutospacing="0" w:after="0" w:afterAutospacing="0" w:line="360" w:lineRule="auto"/>
        <w:ind w:firstLine="480" w:firstLineChars="200"/>
        <w:jc w:val="both"/>
        <w:rPr>
          <w:rFonts w:hint="eastAsia"/>
          <w:highlight w:val="none"/>
        </w:rPr>
      </w:pPr>
      <w:r>
        <w:rPr>
          <w:rFonts w:hint="eastAsia"/>
          <w:highlight w:val="none"/>
        </w:rPr>
        <w:t xml:space="preserve">2026年 </w:t>
      </w:r>
      <w:r>
        <w:rPr>
          <w:rFonts w:hint="eastAsia"/>
          <w:highlight w:val="none"/>
          <w:lang w:val="en-US" w:eastAsia="zh-CN"/>
        </w:rPr>
        <w:t>3</w:t>
      </w:r>
      <w:r>
        <w:rPr>
          <w:rFonts w:hint="eastAsia"/>
          <w:highlight w:val="none"/>
        </w:rPr>
        <w:t>月</w:t>
      </w:r>
      <w:r>
        <w:rPr>
          <w:rFonts w:hint="eastAsia"/>
          <w:highlight w:val="none"/>
          <w:lang w:val="en-US" w:eastAsia="zh-CN"/>
        </w:rPr>
        <w:t>4</w:t>
      </w:r>
      <w:r>
        <w:rPr>
          <w:rFonts w:hint="eastAsia"/>
          <w:highlight w:val="none"/>
        </w:rPr>
        <w:t>日10:00</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十、响应文件递交地址</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广州市天河区临江大道海心沙西区7楼1号会议室。</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十一、其他</w:t>
      </w:r>
    </w:p>
    <w:p>
      <w:pPr>
        <w:widowControl/>
        <w:tabs>
          <w:tab w:val="left" w:pos="960"/>
        </w:tabs>
        <w:spacing w:line="360" w:lineRule="auto"/>
        <w:ind w:firstLine="480" w:firstLineChars="200"/>
        <w:jc w:val="left"/>
        <w:rPr>
          <w:rFonts w:hint="eastAsia" w:ascii="宋体" w:hAnsi="宋体" w:cs="宋体"/>
          <w:sz w:val="24"/>
          <w:highlight w:val="none"/>
        </w:rPr>
      </w:pPr>
      <w:bookmarkStart w:id="1" w:name="_Toc28890"/>
      <w:bookmarkStart w:id="2" w:name="_Toc2005"/>
      <w:bookmarkStart w:id="3" w:name="_Toc32639"/>
      <w:bookmarkStart w:id="4" w:name="_Toc461112744"/>
      <w:r>
        <w:rPr>
          <w:rFonts w:hint="eastAsia" w:ascii="宋体" w:hAnsi="宋体" w:cs="宋体"/>
          <w:sz w:val="24"/>
          <w:highlight w:val="none"/>
        </w:rPr>
        <w:t>（一）竞投文件递交、开标时间及地点</w:t>
      </w:r>
      <w:bookmarkEnd w:id="1"/>
      <w:bookmarkEnd w:id="2"/>
      <w:bookmarkEnd w:id="3"/>
      <w:bookmarkEnd w:id="4"/>
    </w:p>
    <w:p>
      <w:pPr>
        <w:widowControl/>
        <w:tabs>
          <w:tab w:val="left" w:pos="960"/>
        </w:tabs>
        <w:spacing w:line="360" w:lineRule="auto"/>
        <w:ind w:firstLine="480" w:firstLineChars="200"/>
        <w:jc w:val="left"/>
        <w:rPr>
          <w:rFonts w:hint="eastAsia" w:ascii="宋体" w:hAnsi="宋体" w:cs="宋体"/>
          <w:sz w:val="24"/>
          <w:highlight w:val="none"/>
        </w:rPr>
      </w:pPr>
      <w:bookmarkStart w:id="5" w:name="_Toc7564"/>
      <w:bookmarkStart w:id="6" w:name="_Toc9273"/>
      <w:bookmarkStart w:id="7" w:name="_Toc461112745"/>
      <w:bookmarkStart w:id="8" w:name="_Toc16235"/>
      <w:r>
        <w:rPr>
          <w:rFonts w:hint="eastAsia" w:ascii="宋体" w:hAnsi="宋体" w:cs="宋体"/>
          <w:sz w:val="24"/>
          <w:highlight w:val="none"/>
        </w:rPr>
        <w:t>1.竞投文件递交时间：2026年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 9:30—10:00。</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2.竞投文件递交截止时间：2026年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日10:00。</w:t>
      </w:r>
      <w:bookmarkEnd w:id="5"/>
      <w:bookmarkEnd w:id="6"/>
      <w:bookmarkEnd w:id="7"/>
      <w:bookmarkEnd w:id="8"/>
      <w:r>
        <w:rPr>
          <w:rFonts w:hint="eastAsia" w:ascii="宋体" w:hAnsi="宋体" w:cs="宋体"/>
          <w:sz w:val="24"/>
          <w:highlight w:val="none"/>
        </w:rPr>
        <w:t>逾期递交采购人有权不予受理。</w:t>
      </w:r>
    </w:p>
    <w:p>
      <w:pPr>
        <w:widowControl/>
        <w:tabs>
          <w:tab w:val="left" w:pos="960"/>
        </w:tabs>
        <w:spacing w:line="360" w:lineRule="auto"/>
        <w:ind w:firstLine="480" w:firstLineChars="200"/>
        <w:jc w:val="left"/>
        <w:rPr>
          <w:rFonts w:hint="eastAsia" w:ascii="宋体" w:hAnsi="宋体" w:cs="宋体"/>
          <w:sz w:val="24"/>
          <w:highlight w:val="none"/>
        </w:rPr>
      </w:pPr>
      <w:bookmarkStart w:id="9" w:name="_Toc461112746"/>
      <w:bookmarkStart w:id="10" w:name="_Toc2585"/>
      <w:bookmarkStart w:id="11" w:name="_Toc11429"/>
      <w:bookmarkStart w:id="12" w:name="_Toc19590"/>
      <w:r>
        <w:rPr>
          <w:rFonts w:hint="eastAsia" w:ascii="宋体" w:hAnsi="宋体" w:cs="宋体"/>
          <w:sz w:val="24"/>
          <w:highlight w:val="none"/>
        </w:rPr>
        <w:t>3.开标时间：2026年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 xml:space="preserve">日 </w:t>
      </w:r>
      <w:bookmarkEnd w:id="9"/>
      <w:bookmarkEnd w:id="10"/>
      <w:bookmarkEnd w:id="11"/>
      <w:bookmarkEnd w:id="12"/>
      <w:r>
        <w:rPr>
          <w:rFonts w:hint="eastAsia" w:ascii="宋体" w:hAnsi="宋体" w:cs="宋体"/>
          <w:sz w:val="24"/>
          <w:highlight w:val="none"/>
          <w:lang w:val="en-US" w:eastAsia="zh-CN"/>
        </w:rPr>
        <w:t>10:00</w:t>
      </w:r>
      <w:r>
        <w:rPr>
          <w:rFonts w:hint="eastAsia" w:ascii="宋体" w:hAnsi="宋体" w:cs="宋体"/>
          <w:sz w:val="24"/>
          <w:highlight w:val="none"/>
        </w:rPr>
        <w:t>。</w:t>
      </w:r>
    </w:p>
    <w:p>
      <w:pPr>
        <w:widowControl/>
        <w:tabs>
          <w:tab w:val="left" w:pos="567"/>
        </w:tabs>
        <w:spacing w:line="360" w:lineRule="auto"/>
        <w:ind w:firstLine="480" w:firstLineChars="200"/>
        <w:jc w:val="left"/>
        <w:rPr>
          <w:rFonts w:hint="eastAsia" w:ascii="宋体" w:hAnsi="宋体" w:cs="宋体"/>
          <w:sz w:val="24"/>
          <w:highlight w:val="none"/>
          <w:lang w:bidi="ar"/>
        </w:rPr>
      </w:pPr>
      <w:bookmarkStart w:id="13" w:name="_Toc20516"/>
      <w:bookmarkStart w:id="14" w:name="_Toc461112747"/>
      <w:bookmarkStart w:id="15" w:name="_Toc15170"/>
      <w:bookmarkStart w:id="16" w:name="_Toc32037"/>
      <w:r>
        <w:rPr>
          <w:rFonts w:hint="eastAsia" w:ascii="宋体" w:hAnsi="宋体" w:cs="宋体"/>
          <w:sz w:val="24"/>
          <w:highlight w:val="none"/>
        </w:rPr>
        <w:t>4.竞投文件递交及开标地点：</w:t>
      </w:r>
      <w:bookmarkEnd w:id="13"/>
      <w:bookmarkEnd w:id="14"/>
      <w:bookmarkEnd w:id="15"/>
      <w:bookmarkEnd w:id="16"/>
      <w:r>
        <w:rPr>
          <w:rFonts w:hint="eastAsia" w:ascii="宋体" w:hAnsi="宋体" w:cs="宋体"/>
          <w:sz w:val="24"/>
          <w:highlight w:val="none"/>
          <w:lang w:bidi="ar"/>
        </w:rPr>
        <w:t>广州市天河区临江大道海心沙西区7楼1号会议室。</w:t>
      </w:r>
    </w:p>
    <w:p>
      <w:pPr>
        <w:widowControl/>
        <w:tabs>
          <w:tab w:val="left" w:pos="567"/>
        </w:tabs>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（二）信息发布</w:t>
      </w:r>
    </w:p>
    <w:p>
      <w:pPr>
        <w:widowControl/>
        <w:tabs>
          <w:tab w:val="left" w:pos="567"/>
        </w:tabs>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项目公告在广州国企阳光采购信息发布平台（https://ygcg.gzggzy.cn）、经营公司官方网站（https://www.gzccic.com/）发布。本公告的修改、补充，在上述网站发布；本公告在各媒体发布的文本如有不同之处，以在上述网站发布的文本为准。本项目的公示在广州国企阳光采购信息发布平台、经营公司官方网站发布。</w:t>
      </w:r>
    </w:p>
    <w:p>
      <w:pPr>
        <w:pStyle w:val="25"/>
        <w:spacing w:before="0" w:beforeAutospacing="0" w:after="0" w:afterAutospacing="0" w:line="360" w:lineRule="auto"/>
        <w:ind w:firstLine="480" w:firstLineChars="200"/>
        <w:jc w:val="both"/>
        <w:rPr>
          <w:rStyle w:val="30"/>
          <w:rFonts w:hint="eastAsia"/>
          <w:b w:val="0"/>
          <w:highlight w:val="none"/>
        </w:rPr>
      </w:pPr>
      <w:r>
        <w:rPr>
          <w:rStyle w:val="30"/>
          <w:rFonts w:hint="eastAsia"/>
          <w:b w:val="0"/>
          <w:highlight w:val="none"/>
        </w:rPr>
        <w:t>十二、采购方联系方式</w:t>
      </w:r>
    </w:p>
    <w:p>
      <w:pPr>
        <w:pStyle w:val="25"/>
        <w:spacing w:before="0" w:beforeAutospacing="0" w:after="0" w:afterAutospacing="0" w:line="360" w:lineRule="auto"/>
        <w:ind w:firstLine="480" w:firstLineChars="200"/>
        <w:jc w:val="both"/>
        <w:rPr>
          <w:rStyle w:val="30"/>
          <w:rFonts w:hint="eastAsia"/>
          <w:b w:val="0"/>
          <w:bCs/>
          <w:highlight w:val="none"/>
        </w:rPr>
      </w:pPr>
      <w:r>
        <w:rPr>
          <w:rStyle w:val="30"/>
          <w:rFonts w:hint="eastAsia"/>
          <w:b w:val="0"/>
          <w:bCs/>
          <w:highlight w:val="none"/>
        </w:rPr>
        <w:t>联系人：朱小姐</w:t>
      </w:r>
    </w:p>
    <w:p>
      <w:pPr>
        <w:pStyle w:val="25"/>
        <w:spacing w:before="0" w:beforeAutospacing="0" w:after="0" w:afterAutospacing="0" w:line="360" w:lineRule="auto"/>
        <w:ind w:firstLine="480" w:firstLineChars="200"/>
        <w:jc w:val="both"/>
        <w:rPr>
          <w:rStyle w:val="30"/>
          <w:rFonts w:hint="eastAsia"/>
          <w:b w:val="0"/>
          <w:bCs/>
          <w:highlight w:val="none"/>
        </w:rPr>
      </w:pPr>
      <w:r>
        <w:rPr>
          <w:rStyle w:val="30"/>
          <w:rFonts w:hint="eastAsia"/>
          <w:b w:val="0"/>
          <w:bCs/>
          <w:highlight w:val="none"/>
        </w:rPr>
        <w:t>联系电话：</w:t>
      </w:r>
      <w:r>
        <w:rPr>
          <w:rStyle w:val="30"/>
          <w:b w:val="0"/>
          <w:bCs/>
          <w:highlight w:val="none"/>
        </w:rPr>
        <w:t>13828439941</w:t>
      </w:r>
    </w:p>
    <w:p>
      <w:pPr>
        <w:pStyle w:val="25"/>
        <w:spacing w:before="0" w:beforeAutospacing="0" w:after="0" w:afterAutospacing="0" w:line="360" w:lineRule="auto"/>
        <w:ind w:firstLine="480" w:firstLineChars="200"/>
        <w:jc w:val="both"/>
        <w:rPr>
          <w:rFonts w:hint="eastAsia"/>
          <w:kern w:val="2"/>
          <w:highlight w:val="none"/>
          <w:lang w:bidi="ar"/>
        </w:rPr>
      </w:pPr>
      <w:r>
        <w:rPr>
          <w:rStyle w:val="30"/>
          <w:rFonts w:hint="eastAsia"/>
          <w:b w:val="0"/>
          <w:bCs/>
          <w:highlight w:val="none"/>
        </w:rPr>
        <w:t>联系地址：</w:t>
      </w:r>
      <w:r>
        <w:rPr>
          <w:rFonts w:hint="eastAsia"/>
          <w:kern w:val="2"/>
          <w:highlight w:val="none"/>
          <w:lang w:bidi="ar"/>
        </w:rPr>
        <w:t>广州市天河区临江大道海心沙西区6楼</w:t>
      </w:r>
    </w:p>
    <w:p>
      <w:pPr>
        <w:pStyle w:val="25"/>
        <w:spacing w:before="0" w:beforeAutospacing="0" w:after="0" w:afterAutospacing="0" w:line="360" w:lineRule="auto"/>
        <w:ind w:left="420" w:leftChars="200"/>
        <w:jc w:val="both"/>
        <w:rPr>
          <w:rFonts w:hint="eastAsia"/>
          <w:kern w:val="2"/>
          <w:highlight w:val="none"/>
          <w:lang w:bidi="ar"/>
        </w:rPr>
      </w:pPr>
    </w:p>
    <w:p>
      <w:pPr>
        <w:pStyle w:val="25"/>
        <w:spacing w:before="0" w:beforeAutospacing="0" w:after="0" w:afterAutospacing="0" w:line="360" w:lineRule="auto"/>
        <w:ind w:left="420" w:leftChars="200"/>
        <w:jc w:val="both"/>
        <w:rPr>
          <w:rFonts w:hint="eastAsia"/>
          <w:kern w:val="2"/>
          <w:highlight w:val="none"/>
          <w:lang w:bidi="ar"/>
        </w:rPr>
      </w:pPr>
    </w:p>
    <w:p>
      <w:pPr>
        <w:pStyle w:val="25"/>
        <w:spacing w:before="0" w:beforeAutospacing="0" w:after="0" w:afterAutospacing="0" w:line="360" w:lineRule="auto"/>
        <w:ind w:left="420" w:leftChars="200"/>
        <w:jc w:val="both"/>
        <w:rPr>
          <w:rFonts w:hint="eastAsia"/>
          <w:kern w:val="2"/>
          <w:highlight w:val="none"/>
          <w:lang w:bidi="ar"/>
        </w:rPr>
      </w:pPr>
    </w:p>
    <w:p>
      <w:pPr>
        <w:pStyle w:val="25"/>
        <w:spacing w:before="0" w:beforeAutospacing="0" w:after="0" w:afterAutospacing="0" w:line="360" w:lineRule="auto"/>
        <w:jc w:val="right"/>
        <w:rPr>
          <w:rFonts w:hint="eastAsia"/>
          <w:highlight w:val="none"/>
        </w:rPr>
      </w:pPr>
      <w:r>
        <w:rPr>
          <w:rFonts w:hint="eastAsia"/>
          <w:highlight w:val="none"/>
        </w:rPr>
        <w:t>广州市城投资产经营管理有限公司</w:t>
      </w:r>
    </w:p>
    <w:p>
      <w:pPr>
        <w:pStyle w:val="25"/>
        <w:spacing w:before="0" w:beforeAutospacing="0" w:after="0" w:afterAutospacing="0" w:line="360" w:lineRule="auto"/>
        <w:jc w:val="right"/>
        <w:rPr>
          <w:rFonts w:hint="eastAsia"/>
          <w:kern w:val="2"/>
          <w:highlight w:val="none"/>
          <w:lang w:bidi="ar"/>
        </w:rPr>
      </w:pPr>
      <w:r>
        <w:rPr>
          <w:rFonts w:hint="eastAsia"/>
          <w:kern w:val="2"/>
          <w:highlight w:val="none"/>
          <w:lang w:bidi="ar"/>
        </w:rPr>
        <w:t>2026年2月</w:t>
      </w:r>
      <w:r>
        <w:rPr>
          <w:rFonts w:hint="eastAsia"/>
          <w:kern w:val="2"/>
          <w:highlight w:val="none"/>
          <w:lang w:val="en-US" w:eastAsia="zh-CN" w:bidi="ar"/>
        </w:rPr>
        <w:t>13</w:t>
      </w:r>
      <w:r>
        <w:rPr>
          <w:rFonts w:hint="eastAsia"/>
          <w:kern w:val="2"/>
          <w:highlight w:val="none"/>
          <w:lang w:bidi="ar"/>
        </w:rPr>
        <w:t>日</w:t>
      </w:r>
    </w:p>
    <w:p>
      <w:pPr>
        <w:rPr>
          <w:rFonts w:hint="eastAsia" w:ascii="宋体" w:hAnsi="宋体" w:cs="宋体"/>
          <w:sz w:val="44"/>
          <w:szCs w:val="44"/>
          <w:highlight w:val="none"/>
        </w:rPr>
      </w:pPr>
    </w:p>
    <w:p>
      <w:pPr>
        <w:pStyle w:val="17"/>
        <w:rPr>
          <w:rFonts w:hint="eastAsia" w:ascii="宋体" w:hAnsi="宋体" w:cs="宋体"/>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cols w:space="720" w:num="1"/>
          <w:docGrid w:type="lines" w:linePitch="312" w:charSpace="0"/>
        </w:sectPr>
      </w:pPr>
    </w:p>
    <w:bookmarkEnd w:id="0"/>
    <w:p>
      <w:pPr>
        <w:spacing w:line="360" w:lineRule="auto"/>
        <w:jc w:val="center"/>
        <w:rPr>
          <w:rFonts w:hint="eastAsia" w:ascii="宋体" w:hAnsi="宋体" w:cs="宋体"/>
          <w:b/>
          <w:sz w:val="32"/>
          <w:szCs w:val="32"/>
          <w:highlight w:val="none"/>
        </w:rPr>
      </w:pPr>
      <w:bookmarkStart w:id="17" w:name="_Toc238282338"/>
      <w:bookmarkStart w:id="18" w:name="_Toc334797738"/>
      <w:bookmarkStart w:id="19" w:name="_Toc130180737"/>
      <w:bookmarkStart w:id="20" w:name="_Toc130180842"/>
      <w:bookmarkStart w:id="21" w:name="_Toc130180923"/>
      <w:r>
        <w:rPr>
          <w:rFonts w:hint="eastAsia" w:ascii="宋体" w:hAnsi="宋体" w:cs="宋体"/>
          <w:sz w:val="32"/>
          <w:szCs w:val="32"/>
          <w:highlight w:val="none"/>
        </w:rPr>
        <w:t>二、</w:t>
      </w:r>
      <w:r>
        <w:rPr>
          <w:rFonts w:hint="eastAsia" w:ascii="宋体" w:hAnsi="宋体" w:cs="宋体"/>
          <w:b/>
          <w:sz w:val="32"/>
          <w:szCs w:val="32"/>
          <w:highlight w:val="none"/>
        </w:rPr>
        <w:t>竞投须知</w:t>
      </w:r>
    </w:p>
    <w:tbl>
      <w:tblPr>
        <w:tblStyle w:val="27"/>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ind w:right="-358"/>
              <w:jc w:val="left"/>
              <w:rPr>
                <w:rFonts w:hint="eastAsia" w:ascii="宋体" w:hAnsi="宋体" w:cs="宋体"/>
                <w:b/>
                <w:szCs w:val="21"/>
                <w:highlight w:val="none"/>
              </w:rPr>
            </w:pPr>
            <w:r>
              <w:rPr>
                <w:rFonts w:hint="eastAsia" w:ascii="宋体" w:hAnsi="宋体" w:cs="宋体"/>
                <w:b/>
                <w:szCs w:val="21"/>
                <w:highlight w:val="none"/>
              </w:rPr>
              <w:t>项号</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内    容</w:t>
            </w:r>
          </w:p>
        </w:tc>
        <w:tc>
          <w:tcPr>
            <w:tcW w:w="662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40" w:lineRule="atLeast"/>
              <w:jc w:val="center"/>
              <w:rPr>
                <w:rFonts w:hint="eastAsia" w:ascii="宋体" w:hAnsi="宋体" w:cs="宋体"/>
                <w:b/>
                <w:szCs w:val="21"/>
                <w:highlight w:val="none"/>
              </w:rPr>
            </w:pPr>
            <w:r>
              <w:rPr>
                <w:rFonts w:hint="eastAsia" w:ascii="宋体" w:hAnsi="宋体" w:cs="宋体"/>
                <w:b/>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采购项目</w:t>
            </w:r>
          </w:p>
        </w:tc>
        <w:tc>
          <w:tcPr>
            <w:tcW w:w="662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highlight w:val="none"/>
              </w:rPr>
            </w:pPr>
            <w:r>
              <w:rPr>
                <w:rFonts w:hint="eastAsia" w:ascii="宋体" w:hAnsi="宋体" w:cs="宋体"/>
                <w:szCs w:val="21"/>
                <w:highlight w:val="none"/>
              </w:rPr>
              <w:t>2026年度城享慧商业会员系统建设与运营服务项目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采购单位</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广州市城投资产经营管理有限公司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3</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项目地点</w:t>
            </w:r>
          </w:p>
        </w:tc>
        <w:tc>
          <w:tcPr>
            <w:tcW w:w="6624" w:type="dxa"/>
            <w:tcBorders>
              <w:top w:val="single" w:color="auto" w:sz="4" w:space="0"/>
              <w:left w:val="single" w:color="auto" w:sz="4" w:space="0"/>
              <w:bottom w:val="single" w:color="auto" w:sz="4" w:space="0"/>
              <w:right w:val="single" w:color="auto" w:sz="4" w:space="0"/>
            </w:tcBorders>
            <w:vAlign w:val="center"/>
          </w:tcPr>
          <w:p>
            <w:pPr>
              <w:tabs>
                <w:tab w:val="left" w:pos="0"/>
              </w:tabs>
              <w:jc w:val="left"/>
              <w:outlineLvl w:val="3"/>
              <w:rPr>
                <w:rFonts w:hint="eastAsia" w:ascii="宋体" w:hAnsi="宋体" w:cs="宋体"/>
                <w:szCs w:val="21"/>
                <w:highlight w:val="none"/>
              </w:rPr>
            </w:pPr>
            <w:r>
              <w:rPr>
                <w:rFonts w:hint="eastAsia" w:ascii="宋体" w:hAnsi="宋体" w:cs="宋体"/>
                <w:szCs w:val="21"/>
                <w:highlight w:val="none"/>
              </w:rPr>
              <w:t>广州市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4</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采购方式</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公开竞选采购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采购范围、内容</w:t>
            </w:r>
          </w:p>
        </w:tc>
        <w:tc>
          <w:tcPr>
            <w:tcW w:w="6624" w:type="dxa"/>
            <w:tcBorders>
              <w:top w:val="single" w:color="auto" w:sz="4" w:space="0"/>
              <w:left w:val="single" w:color="auto" w:sz="4" w:space="0"/>
              <w:bottom w:val="single" w:color="auto" w:sz="4" w:space="0"/>
              <w:right w:val="single" w:color="auto" w:sz="4" w:space="0"/>
            </w:tcBorders>
            <w:vAlign w:val="center"/>
          </w:tcPr>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1.具体采购内容范围及要求详见竞选公告。</w:t>
            </w:r>
          </w:p>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2.双方的权利义务、合同期限、费用及支付方式等详见后附合同内容。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6</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竞投资格要求</w:t>
            </w:r>
          </w:p>
        </w:tc>
        <w:tc>
          <w:tcPr>
            <w:tcW w:w="6624" w:type="dxa"/>
            <w:tcBorders>
              <w:top w:val="single" w:color="auto" w:sz="4" w:space="0"/>
              <w:left w:val="single" w:color="auto" w:sz="4" w:space="0"/>
              <w:bottom w:val="single" w:color="auto" w:sz="4" w:space="0"/>
              <w:right w:val="single" w:color="auto" w:sz="4" w:space="0"/>
            </w:tcBorders>
            <w:vAlign w:val="center"/>
          </w:tcPr>
          <w:p>
            <w:pPr>
              <w:pStyle w:val="16"/>
              <w:spacing w:line="240" w:lineRule="atLeast"/>
              <w:rPr>
                <w:rFonts w:hint="eastAsia" w:ascii="宋体" w:hAnsi="宋体" w:cs="宋体"/>
                <w:szCs w:val="21"/>
                <w:highlight w:val="none"/>
              </w:rPr>
            </w:pPr>
            <w:r>
              <w:rPr>
                <w:rFonts w:hint="eastAsia" w:ascii="宋体" w:hAnsi="宋体" w:cs="宋体"/>
                <w:szCs w:val="21"/>
                <w:highlight w:val="none"/>
              </w:rPr>
              <w:t>1.竞投人必须是国内合法注册的法人或其他组织。</w:t>
            </w:r>
          </w:p>
          <w:p>
            <w:pPr>
              <w:pStyle w:val="16"/>
              <w:spacing w:line="240" w:lineRule="atLeas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竞投人未被中国执行信息公开网（zxgk.court.gov.cn）列入“失信被执行人”的名单，且未被信用中国网站（https://www.creditchina.gov.cn/xinxigongshi/)列入“重大税收违法失信主体”“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pPr>
              <w:pStyle w:val="16"/>
              <w:spacing w:line="240" w:lineRule="atLeast"/>
              <w:rPr>
                <w:rFonts w:hint="eastAsia" w:ascii="宋体" w:hAnsi="宋体" w:cs="宋体"/>
                <w:szCs w:val="21"/>
                <w:highlight w:val="none"/>
              </w:rPr>
            </w:pPr>
            <w:r>
              <w:rPr>
                <w:rFonts w:hint="eastAsia" w:ascii="宋体" w:hAnsi="宋体" w:cs="宋体"/>
                <w:szCs w:val="21"/>
                <w:highlight w:val="none"/>
              </w:rPr>
              <w:t>3.单位负责人为同一人或者存在直接控股、管理关系的不同竞投人，不得同时参加本项目的竞投。</w:t>
            </w:r>
          </w:p>
          <w:p>
            <w:pPr>
              <w:pStyle w:val="16"/>
              <w:rPr>
                <w:rFonts w:hint="eastAsia" w:ascii="宋体" w:hAnsi="宋体" w:cs="宋体"/>
                <w:szCs w:val="21"/>
                <w:highlight w:val="none"/>
              </w:rPr>
            </w:pPr>
            <w:r>
              <w:rPr>
                <w:rFonts w:hint="eastAsia" w:ascii="宋体" w:hAnsi="宋体" w:cs="宋体"/>
                <w:szCs w:val="21"/>
                <w:highlight w:val="none"/>
              </w:rPr>
              <w:t>4.本项目不接受联合体竞投。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7</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承包方式</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总价包干形式；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8</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质量标准</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 xml:space="preserve">合格；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9</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报价方式</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 xml:space="preserve">根据采购人要求的报价格式密封报价；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10</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最高含税限价</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最高限价：</w:t>
            </w:r>
            <w:r>
              <w:rPr>
                <w:rFonts w:hint="eastAsia" w:ascii="宋体" w:hAnsi="宋体" w:cs="宋体"/>
                <w:szCs w:val="21"/>
                <w:highlight w:val="none"/>
                <w:lang w:val="en-US" w:eastAsia="zh-CN"/>
              </w:rPr>
              <w:t>406,150</w:t>
            </w:r>
            <w:r>
              <w:rPr>
                <w:rFonts w:hint="eastAsia" w:ascii="宋体" w:hAnsi="宋体" w:cs="宋体"/>
                <w:szCs w:val="21"/>
                <w:highlight w:val="none"/>
              </w:rPr>
              <w:t>元，高于限价的报价无效；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11</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工期要求</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合作期限自合同签订之日起至完成所有服务为止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12</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评审方式</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综合评分；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13</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竞投文件编制</w:t>
            </w:r>
          </w:p>
          <w:p>
            <w:pPr>
              <w:spacing w:line="240" w:lineRule="atLeast"/>
              <w:jc w:val="center"/>
              <w:rPr>
                <w:rFonts w:hint="eastAsia" w:ascii="宋体" w:hAnsi="宋体" w:cs="宋体"/>
                <w:szCs w:val="21"/>
                <w:highlight w:val="none"/>
              </w:rPr>
            </w:pPr>
            <w:r>
              <w:rPr>
                <w:rFonts w:hint="eastAsia" w:ascii="宋体" w:hAnsi="宋体" w:cs="宋体"/>
                <w:szCs w:val="21"/>
                <w:highlight w:val="none"/>
              </w:rPr>
              <w:t>要求</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1. 竞投人应按采购文件的要求制作并递交竞投文件，并保证所提供的全部资料的真实性、准确性；</w:t>
            </w:r>
          </w:p>
          <w:p>
            <w:pPr>
              <w:spacing w:line="240" w:lineRule="atLeast"/>
              <w:rPr>
                <w:rFonts w:hint="eastAsia" w:ascii="宋体" w:hAnsi="宋体" w:cs="宋体"/>
                <w:szCs w:val="21"/>
                <w:highlight w:val="none"/>
              </w:rPr>
            </w:pPr>
            <w:r>
              <w:rPr>
                <w:rFonts w:hint="eastAsia" w:ascii="宋体" w:hAnsi="宋体" w:cs="宋体"/>
                <w:szCs w:val="21"/>
                <w:highlight w:val="none"/>
              </w:rPr>
              <w:t>2. 竞投文件和来往函件应用简体中文书写，计量单位应使用国际公制单位。</w:t>
            </w:r>
          </w:p>
          <w:p>
            <w:pPr>
              <w:spacing w:line="240" w:lineRule="atLeast"/>
              <w:rPr>
                <w:rFonts w:hint="eastAsia" w:ascii="宋体" w:hAnsi="宋体" w:cs="宋体"/>
                <w:szCs w:val="21"/>
                <w:highlight w:val="none"/>
              </w:rPr>
            </w:pPr>
            <w:r>
              <w:rPr>
                <w:rFonts w:hint="eastAsia" w:ascii="宋体" w:hAnsi="宋体" w:cs="宋体"/>
                <w:szCs w:val="21"/>
                <w:highlight w:val="none"/>
              </w:rPr>
              <w:t>3. 竞投人须用人民币作为报价的货币单位。竞投文件的大写金额和小写金额不一致的，以大写金额为准；总价金额与按单价汇总金额不一致的，以单价金额计算结果为准；单价金额小数点有明显错位的，应以总价为准，并修改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14</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bCs/>
                <w:szCs w:val="21"/>
                <w:highlight w:val="none"/>
              </w:rPr>
              <w:t>竞投文件的组成</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lang w:val="en-GB"/>
              </w:rPr>
            </w:pPr>
            <w:r>
              <w:rPr>
                <w:rFonts w:hint="eastAsia" w:ascii="宋体" w:hAnsi="宋体" w:cs="宋体"/>
                <w:szCs w:val="21"/>
                <w:highlight w:val="none"/>
                <w:lang w:val="en-GB"/>
              </w:rPr>
              <w:t>1.竞投函（盖章）；</w:t>
            </w:r>
          </w:p>
          <w:p>
            <w:pPr>
              <w:spacing w:line="240" w:lineRule="atLeast"/>
              <w:rPr>
                <w:rFonts w:hint="eastAsia" w:ascii="宋体" w:hAnsi="宋体" w:cs="宋体"/>
                <w:szCs w:val="21"/>
                <w:highlight w:val="none"/>
                <w:lang w:val="en-GB"/>
              </w:rPr>
            </w:pPr>
            <w:r>
              <w:rPr>
                <w:rFonts w:hint="eastAsia" w:ascii="宋体" w:hAnsi="宋体" w:cs="宋体"/>
                <w:szCs w:val="21"/>
                <w:highlight w:val="none"/>
                <w:lang w:val="en-GB"/>
              </w:rPr>
              <w:t>2.法定代表人证明及授权书（盖章）；</w:t>
            </w:r>
          </w:p>
          <w:p>
            <w:pPr>
              <w:spacing w:line="240" w:lineRule="atLeast"/>
              <w:rPr>
                <w:rFonts w:hint="eastAsia" w:ascii="宋体" w:hAnsi="宋体" w:cs="宋体"/>
                <w:szCs w:val="21"/>
                <w:highlight w:val="none"/>
                <w:lang w:val="en-GB"/>
              </w:rPr>
            </w:pPr>
            <w:r>
              <w:rPr>
                <w:rFonts w:hint="eastAsia" w:ascii="宋体" w:hAnsi="宋体" w:cs="宋体"/>
                <w:szCs w:val="21"/>
                <w:highlight w:val="none"/>
                <w:lang w:val="en-GB"/>
              </w:rPr>
              <w:t>3.法定代表人及被授权人身份证复印件（盖章）；</w:t>
            </w:r>
          </w:p>
          <w:p>
            <w:pPr>
              <w:spacing w:line="240" w:lineRule="atLeast"/>
              <w:rPr>
                <w:rFonts w:hint="eastAsia" w:ascii="宋体" w:hAnsi="宋体" w:cs="宋体"/>
                <w:szCs w:val="21"/>
                <w:highlight w:val="none"/>
                <w:lang w:val="en-GB"/>
              </w:rPr>
            </w:pPr>
            <w:r>
              <w:rPr>
                <w:rFonts w:hint="eastAsia" w:ascii="宋体" w:hAnsi="宋体" w:cs="宋体"/>
                <w:szCs w:val="21"/>
                <w:highlight w:val="none"/>
                <w:lang w:val="en-GB"/>
              </w:rPr>
              <w:t>4.报价表及报价清单（盖章）；</w:t>
            </w:r>
          </w:p>
          <w:p>
            <w:pPr>
              <w:spacing w:line="240" w:lineRule="atLeast"/>
              <w:rPr>
                <w:rFonts w:hint="eastAsia" w:ascii="宋体" w:hAnsi="宋体" w:cs="宋体"/>
                <w:szCs w:val="21"/>
                <w:highlight w:val="none"/>
                <w:lang w:val="en-GB"/>
              </w:rPr>
            </w:pPr>
            <w:r>
              <w:rPr>
                <w:rFonts w:hint="eastAsia" w:ascii="宋体" w:hAnsi="宋体" w:cs="宋体"/>
                <w:szCs w:val="21"/>
                <w:highlight w:val="none"/>
                <w:lang w:val="en-GB"/>
              </w:rPr>
              <w:t>5.资格及响应性审查相关证明资料；</w:t>
            </w:r>
          </w:p>
          <w:p>
            <w:pPr>
              <w:spacing w:line="240" w:lineRule="atLeast"/>
              <w:rPr>
                <w:rFonts w:hint="eastAsia" w:ascii="宋体" w:hAnsi="宋体" w:cs="宋体"/>
                <w:szCs w:val="21"/>
                <w:highlight w:val="none"/>
              </w:rPr>
            </w:pPr>
            <w:r>
              <w:rPr>
                <w:rFonts w:hint="eastAsia" w:ascii="宋体" w:hAnsi="宋体" w:cs="宋体"/>
                <w:szCs w:val="21"/>
                <w:highlight w:val="none"/>
                <w:lang w:val="en-GB"/>
              </w:rPr>
              <w:t>6.竞投人认为须提交与评审内容相关的其他资料。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竞投文件份数</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b/>
                <w:bCs/>
                <w:szCs w:val="21"/>
                <w:highlight w:val="none"/>
              </w:rPr>
              <w:t>正本壹份，副本贰份</w:t>
            </w:r>
            <w:r>
              <w:rPr>
                <w:rFonts w:hint="eastAsia" w:ascii="宋体" w:hAnsi="宋体" w:cs="宋体"/>
                <w:szCs w:val="21"/>
                <w:highlight w:val="none"/>
              </w:rPr>
              <w:t>；所有竞投文件应用A4规格纸打印，并装订成册。竞投文件于封面注明“正本”和“副本”。如果正本与副本不符，应以正本为准。竞投人还应提交U 盘文件（内含竞选采购文件盖章版PDF扫描件、出现在竞投文件中所有文件）1份。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16</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竞投文件递交时间及截止时间</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竞投文件递交受理时间自</w:t>
            </w:r>
            <w:r>
              <w:rPr>
                <w:rFonts w:hint="eastAsia" w:ascii="宋体" w:hAnsi="宋体" w:cs="宋体"/>
                <w:szCs w:val="21"/>
                <w:highlight w:val="none"/>
                <w:u w:val="single"/>
              </w:rPr>
              <w:t>2026</w:t>
            </w:r>
            <w:r>
              <w:rPr>
                <w:rFonts w:hint="eastAsia" w:ascii="宋体" w:hAnsi="宋体" w:cs="宋体"/>
                <w:szCs w:val="21"/>
                <w:highlight w:val="none"/>
              </w:rPr>
              <w:t xml:space="preserve">年 </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 9时</w:t>
            </w:r>
            <w:r>
              <w:rPr>
                <w:rFonts w:hint="eastAsia" w:ascii="宋体" w:hAnsi="宋体" w:cs="宋体"/>
                <w:szCs w:val="21"/>
                <w:highlight w:val="none"/>
                <w:u w:val="single"/>
              </w:rPr>
              <w:t>30</w:t>
            </w:r>
            <w:r>
              <w:rPr>
                <w:rFonts w:hint="eastAsia" w:ascii="宋体" w:hAnsi="宋体" w:cs="宋体"/>
                <w:szCs w:val="21"/>
                <w:highlight w:val="none"/>
              </w:rPr>
              <w:t>分起至</w:t>
            </w:r>
            <w:r>
              <w:rPr>
                <w:rFonts w:hint="eastAsia" w:ascii="宋体" w:hAnsi="宋体" w:cs="宋体"/>
                <w:szCs w:val="21"/>
                <w:highlight w:val="none"/>
                <w:u w:val="single"/>
              </w:rPr>
              <w:t>2026</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日10 时</w:t>
            </w:r>
            <w:r>
              <w:rPr>
                <w:rFonts w:hint="eastAsia" w:ascii="宋体" w:hAnsi="宋体" w:cs="宋体"/>
                <w:szCs w:val="21"/>
                <w:highlight w:val="none"/>
                <w:u w:val="single"/>
              </w:rPr>
              <w:t>00</w:t>
            </w:r>
            <w:r>
              <w:rPr>
                <w:rFonts w:hint="eastAsia" w:ascii="宋体" w:hAnsi="宋体" w:cs="宋体"/>
                <w:szCs w:val="21"/>
                <w:highlight w:val="none"/>
              </w:rPr>
              <w:t>分截止；逾期不予受理。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17</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竞投有效期</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宋体" w:hAnsi="宋体" w:cs="宋体"/>
                <w:szCs w:val="21"/>
                <w:highlight w:val="none"/>
              </w:rPr>
            </w:pPr>
            <w:r>
              <w:rPr>
                <w:rFonts w:hint="eastAsia" w:ascii="宋体" w:hAnsi="宋体" w:cs="宋体"/>
                <w:szCs w:val="21"/>
                <w:highlight w:val="none"/>
              </w:rPr>
              <w:t>从竞投截止日起，竞投有效期为90日历天。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18</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竞投保证金</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宋体" w:hAnsi="宋体" w:cs="宋体"/>
                <w:szCs w:val="21"/>
                <w:highlight w:val="none"/>
              </w:rPr>
            </w:pPr>
            <w:r>
              <w:rPr>
                <w:rFonts w:hint="eastAsia" w:ascii="宋体" w:hAnsi="宋体" w:cs="宋体"/>
                <w:szCs w:val="21"/>
                <w:highlight w:val="none"/>
              </w:rPr>
              <w:t>本采购项目不设竞投保证金。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19</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bCs/>
                <w:szCs w:val="21"/>
                <w:highlight w:val="none"/>
              </w:rPr>
              <w:t>竞投文件的修改和撤回</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竞投截止时间之后，竞投人不得对其竞投文件做任何修改。从竞投截止时间起至竞投有效期前，竞投人不得撤回其竞投文件。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20</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竞投文件</w:t>
            </w:r>
          </w:p>
          <w:p>
            <w:pPr>
              <w:spacing w:line="240" w:lineRule="atLeast"/>
              <w:jc w:val="center"/>
              <w:rPr>
                <w:rFonts w:hint="eastAsia" w:ascii="宋体" w:hAnsi="宋体" w:cs="宋体"/>
                <w:szCs w:val="21"/>
                <w:highlight w:val="none"/>
              </w:rPr>
            </w:pPr>
            <w:r>
              <w:rPr>
                <w:rFonts w:hint="eastAsia" w:ascii="宋体" w:hAnsi="宋体" w:cs="宋体"/>
                <w:szCs w:val="21"/>
                <w:highlight w:val="none"/>
              </w:rPr>
              <w:t>递交地点</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宋体" w:hAnsi="宋体" w:cs="宋体"/>
                <w:szCs w:val="21"/>
                <w:highlight w:val="none"/>
              </w:rPr>
            </w:pPr>
            <w:r>
              <w:rPr>
                <w:rFonts w:hint="eastAsia" w:ascii="宋体" w:hAnsi="宋体" w:cs="宋体"/>
                <w:szCs w:val="21"/>
                <w:highlight w:val="none"/>
              </w:rPr>
              <w:t>广州市天河区临江大道海心沙西区7楼1号会议室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21</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bCs/>
                <w:szCs w:val="21"/>
                <w:highlight w:val="none"/>
              </w:rPr>
              <w:t>知识产权</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参与本采购项目的竞投人须接受及保证，采购人在中华人民共和国境内使用竞投服务时（含竞投人提供的设计、软件、服务及提供服务所需的设备、货物、产品、资料、技术或其任何一部分），享有不受限制的使用权，不会产生因第三方提出侵犯其专利权、商标权或其它知识产权而引起的法律纠纷。如竞投人不拥有相应的知识产权，则应由竞投人负责获得并提供给采购人使用，其竞投报价中必须包括合法获取该知识产权的一切相关费用，如竞投人没有单独列出的，视为已包含在相应报价中。一旦使用竞投人提供的服务（含竞投人提供服务所需的设备、货物、产品、资料、技术或其任何一部分），采购人不再承担第三方提出侵犯其专利权、商标权或其它知识产权而引起的法律纠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22</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禁止事项</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采购人、竞投人不得相互串通竞投损害国家利益，社会公共利益和其他当事人的合法权益；不得以任何手段排斥其他竞投人参与竞争；各竞投人不得向采购人或采购人组成的评审人员行贿或者采取其他不正当手段谋取中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23</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bCs/>
                <w:szCs w:val="21"/>
                <w:highlight w:val="none"/>
              </w:rPr>
              <w:t>保密要求</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由采购人向竞投人提供的采购/招选文件、用户需求书等所有资料，竞投人获得后，应对其保密。非经采购人书面同意，竞投人不得向第三方透露或将其用于本次竞投以外的任何用途。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24</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采购联系方式</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采购单位：广州市城投资产经营管理有限公司、广州市城投资产经营管理有限公司珠江新城分公司、广州市城投资产经营管理有限公司花果山分公司、广州市城投资产经营管理有限公司流花分公司</w:t>
            </w:r>
          </w:p>
          <w:p>
            <w:pPr>
              <w:spacing w:line="240" w:lineRule="atLeast"/>
              <w:ind w:left="947" w:leftChars="-4" w:hanging="955" w:hangingChars="455"/>
              <w:rPr>
                <w:rFonts w:hint="eastAsia" w:ascii="宋体" w:hAnsi="宋体" w:cs="宋体"/>
                <w:szCs w:val="21"/>
                <w:highlight w:val="none"/>
              </w:rPr>
            </w:pPr>
            <w:r>
              <w:rPr>
                <w:rFonts w:hint="eastAsia" w:ascii="宋体" w:hAnsi="宋体" w:cs="宋体"/>
                <w:szCs w:val="21"/>
                <w:highlight w:val="none"/>
              </w:rPr>
              <w:t>联系地址：广州市天河区临江大道海心沙西区6楼</w:t>
            </w:r>
          </w:p>
          <w:p>
            <w:pPr>
              <w:spacing w:line="240" w:lineRule="atLeast"/>
              <w:rPr>
                <w:rFonts w:hint="eastAsia" w:ascii="宋体" w:hAnsi="宋体" w:cs="宋体"/>
                <w:szCs w:val="21"/>
                <w:highlight w:val="none"/>
              </w:rPr>
            </w:pPr>
            <w:r>
              <w:rPr>
                <w:rFonts w:hint="eastAsia" w:ascii="宋体" w:hAnsi="宋体" w:cs="宋体"/>
                <w:szCs w:val="21"/>
                <w:highlight w:val="none"/>
              </w:rPr>
              <w:t>联 系 人：朱小姐</w:t>
            </w:r>
          </w:p>
          <w:p>
            <w:pPr>
              <w:spacing w:line="240" w:lineRule="atLeast"/>
              <w:rPr>
                <w:rFonts w:hint="eastAsia" w:ascii="宋体" w:hAnsi="宋体" w:cs="宋体"/>
                <w:szCs w:val="21"/>
                <w:highlight w:val="none"/>
              </w:rPr>
            </w:pPr>
            <w:r>
              <w:rPr>
                <w:rFonts w:hint="eastAsia" w:ascii="宋体" w:hAnsi="宋体" w:cs="宋体"/>
                <w:szCs w:val="21"/>
                <w:highlight w:val="none"/>
              </w:rPr>
              <w:t>联系电话：</w:t>
            </w:r>
            <w:r>
              <w:rPr>
                <w:rFonts w:ascii="宋体" w:hAnsi="宋体" w:cs="宋体"/>
                <w:szCs w:val="21"/>
                <w:highlight w:val="none"/>
              </w:rPr>
              <w:t>13828439941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其他</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szCs w:val="21"/>
                <w:highlight w:val="none"/>
              </w:rPr>
            </w:pPr>
            <w:r>
              <w:rPr>
                <w:rFonts w:hint="eastAsia" w:ascii="宋体" w:hAnsi="宋体" w:cs="宋体"/>
                <w:szCs w:val="21"/>
                <w:highlight w:val="none"/>
              </w:rPr>
              <w:t>1. 本采购项目信息同步在采购人的官方网站广州国企阳光采购信息发布平台（https://ygcg.gzggzy.cn）、经营公司官方网站（https://www.gzccic.com/）发布，符合资格的意向竞投人可行进行竟投并承担所有与其参加竞投有关的全部费用。</w:t>
            </w:r>
          </w:p>
          <w:p>
            <w:pPr>
              <w:spacing w:line="240" w:lineRule="atLeast"/>
              <w:rPr>
                <w:rFonts w:hint="eastAsia" w:ascii="宋体" w:hAnsi="宋体" w:cs="宋体"/>
                <w:szCs w:val="21"/>
                <w:highlight w:val="none"/>
              </w:rPr>
            </w:pPr>
            <w:r>
              <w:rPr>
                <w:rFonts w:hint="eastAsia" w:ascii="宋体" w:hAnsi="宋体" w:cs="宋体"/>
                <w:szCs w:val="21"/>
                <w:highlight w:val="none"/>
              </w:rPr>
              <w:t>2. 提交竞投文件的截止时间前，应接收竞投人递交的有效竞投文件少于三家时，则采购招选工作失败，已递交的竞投文件原封退回。采购人将按有关规定另行组织采购招选工作。</w:t>
            </w:r>
          </w:p>
          <w:p>
            <w:pPr>
              <w:spacing w:line="240" w:lineRule="atLeast"/>
              <w:rPr>
                <w:rFonts w:hint="eastAsia" w:ascii="宋体" w:hAnsi="宋体" w:cs="宋体"/>
                <w:szCs w:val="21"/>
                <w:highlight w:val="none"/>
              </w:rPr>
            </w:pPr>
            <w:r>
              <w:rPr>
                <w:rFonts w:hint="eastAsia" w:ascii="宋体" w:hAnsi="宋体" w:cs="宋体"/>
                <w:szCs w:val="21"/>
                <w:highlight w:val="none"/>
              </w:rPr>
              <w:t>3. 本采购文件的最终解释权归采购人。</w:t>
            </w:r>
          </w:p>
        </w:tc>
      </w:tr>
    </w:tbl>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keepNext/>
        <w:keepLines/>
        <w:tabs>
          <w:tab w:val="left" w:pos="0"/>
          <w:tab w:val="left" w:pos="1680"/>
        </w:tabs>
        <w:ind w:right="-57" w:rightChars="-27"/>
        <w:jc w:val="center"/>
        <w:outlineLvl w:val="0"/>
        <w:rPr>
          <w:rFonts w:hint="eastAsia" w:ascii="宋体" w:hAnsi="宋体" w:cs="宋体"/>
          <w:color w:val="000000"/>
          <w:sz w:val="24"/>
          <w:highlight w:val="none"/>
        </w:rPr>
      </w:pPr>
      <w:bookmarkStart w:id="22" w:name="_Toc427828529"/>
      <w:bookmarkStart w:id="23" w:name="_Toc428434793"/>
      <w:r>
        <w:rPr>
          <w:rFonts w:hint="eastAsia" w:ascii="宋体" w:hAnsi="宋体" w:cs="宋体"/>
          <w:sz w:val="32"/>
          <w:szCs w:val="32"/>
          <w:highlight w:val="none"/>
        </w:rPr>
        <w:br w:type="page"/>
      </w:r>
      <w:r>
        <w:rPr>
          <w:rFonts w:hint="eastAsia" w:ascii="宋体" w:hAnsi="宋体" w:cs="宋体"/>
          <w:b/>
          <w:sz w:val="32"/>
          <w:szCs w:val="32"/>
          <w:highlight w:val="none"/>
        </w:rPr>
        <w:t>三、</w:t>
      </w:r>
      <w:r>
        <w:rPr>
          <w:rFonts w:hint="eastAsia" w:ascii="宋体" w:hAnsi="宋体" w:cs="宋体"/>
          <w:b/>
          <w:color w:val="000000"/>
          <w:sz w:val="32"/>
          <w:szCs w:val="32"/>
          <w:highlight w:val="none"/>
        </w:rPr>
        <w:t>采购人需求</w:t>
      </w:r>
      <w:bookmarkEnd w:id="22"/>
      <w:bookmarkEnd w:id="23"/>
    </w:p>
    <w:p>
      <w:pPr>
        <w:numPr>
          <w:ilvl w:val="0"/>
          <w:numId w:val="3"/>
        </w:numPr>
        <w:tabs>
          <w:tab w:val="left" w:pos="0"/>
          <w:tab w:val="left" w:pos="1680"/>
        </w:tabs>
        <w:spacing w:line="360" w:lineRule="auto"/>
        <w:ind w:firstLine="480" w:firstLineChars="200"/>
        <w:rPr>
          <w:rFonts w:hint="eastAsia" w:ascii="宋体" w:hAnsi="宋体" w:cs="宋体"/>
          <w:highlight w:val="none"/>
        </w:rPr>
      </w:pPr>
      <w:r>
        <w:rPr>
          <w:rFonts w:hint="eastAsia" w:ascii="宋体" w:hAnsi="宋体" w:cs="宋体"/>
          <w:color w:val="000000"/>
          <w:sz w:val="24"/>
          <w:highlight w:val="none"/>
        </w:rPr>
        <w:t>概述</w:t>
      </w:r>
    </w:p>
    <w:p>
      <w:pPr>
        <w:pStyle w:val="2"/>
        <w:ind w:firstLine="0"/>
        <w:rPr>
          <w:rFonts w:hint="eastAsia"/>
          <w:b w:val="0"/>
          <w:bCs w:val="0"/>
          <w:highlight w:val="none"/>
          <w:lang w:val="en-US" w:eastAsia="zh-CN"/>
        </w:rPr>
      </w:pPr>
      <w:r>
        <w:rPr>
          <w:rFonts w:hint="eastAsia"/>
          <w:b w:val="0"/>
          <w:bCs w:val="0"/>
          <w:highlight w:val="none"/>
        </w:rPr>
        <w:t>为落实集团统一会员体系战略部署，结合广州城投商管成本管控与总部数字化统筹要求，现计划以“城享慧”系统为核心，推进商管会员体系的整合与升级。拟对总部及旗下项目—包括经营公司本部、花城汇、城壹汇北京路店、流花中心&amp;城壹汇流花、天河新天地、南站新天地、花果山超高清视频产业特色小镇——共用的“城享慧”会员小程序，开展2026年度技术升级改造与运营服务工作。具体服务内容包括如下方面：</w:t>
      </w:r>
    </w:p>
    <w:p>
      <w:pPr>
        <w:pStyle w:val="2"/>
        <w:ind w:firstLine="480" w:firstLineChars="200"/>
        <w:rPr>
          <w:rFonts w:hint="default" w:eastAsia="宋体"/>
          <w:b w:val="0"/>
          <w:bCs w:val="0"/>
          <w:highlight w:val="none"/>
          <w:lang w:val="en-US" w:eastAsia="zh-CN"/>
        </w:rPr>
        <w:sectPr>
          <w:headerReference r:id="rId10" w:type="first"/>
          <w:footerReference r:id="rId13" w:type="first"/>
          <w:headerReference r:id="rId9" w:type="default"/>
          <w:footerReference r:id="rId11" w:type="default"/>
          <w:footerReference r:id="rId12" w:type="even"/>
          <w:pgSz w:w="11906" w:h="16838"/>
          <w:pgMar w:top="1440" w:right="1800" w:bottom="1440" w:left="1800" w:header="851" w:footer="992" w:gutter="0"/>
          <w:cols w:space="720" w:num="1"/>
          <w:docGrid w:type="lines" w:linePitch="312" w:charSpace="0"/>
        </w:sectPr>
      </w:pPr>
      <w:r>
        <w:rPr>
          <w:rFonts w:hint="eastAsia"/>
          <w:b w:val="0"/>
          <w:bCs w:val="0"/>
          <w:highlight w:val="none"/>
          <w:lang w:val="en-US" w:eastAsia="zh-CN"/>
        </w:rPr>
        <w:t>备注说明：中标公司需与广州市城投资产经营管理有限公司（经营公司本部）、广州市城投资产经营管理有限公司珠江新城分公司（</w:t>
      </w:r>
      <w:r>
        <w:rPr>
          <w:rFonts w:hint="eastAsia"/>
          <w:b w:val="0"/>
          <w:bCs w:val="0"/>
          <w:highlight w:val="none"/>
        </w:rPr>
        <w:t>花城汇</w:t>
      </w:r>
      <w:r>
        <w:rPr>
          <w:rFonts w:hint="eastAsia"/>
          <w:b w:val="0"/>
          <w:bCs w:val="0"/>
          <w:highlight w:val="none"/>
          <w:lang w:eastAsia="zh-CN"/>
        </w:rPr>
        <w:t>、</w:t>
      </w:r>
      <w:r>
        <w:rPr>
          <w:rFonts w:hint="eastAsia"/>
          <w:b w:val="0"/>
          <w:bCs w:val="0"/>
          <w:highlight w:val="none"/>
        </w:rPr>
        <w:t>天河新天地、南站新天地</w:t>
      </w:r>
      <w:r>
        <w:rPr>
          <w:rFonts w:hint="eastAsia"/>
          <w:b w:val="0"/>
          <w:bCs w:val="0"/>
          <w:highlight w:val="none"/>
          <w:lang w:val="en-US" w:eastAsia="zh-CN"/>
        </w:rPr>
        <w:t>）、广州市城投资产经营管理有限公司流花分公司（</w:t>
      </w:r>
      <w:r>
        <w:rPr>
          <w:rFonts w:hint="eastAsia"/>
          <w:b w:val="0"/>
          <w:bCs w:val="0"/>
          <w:highlight w:val="none"/>
        </w:rPr>
        <w:t>城壹汇北京路店</w:t>
      </w:r>
      <w:r>
        <w:rPr>
          <w:rFonts w:hint="eastAsia"/>
          <w:b w:val="0"/>
          <w:bCs w:val="0"/>
          <w:highlight w:val="none"/>
          <w:lang w:eastAsia="zh-CN"/>
        </w:rPr>
        <w:t>、</w:t>
      </w:r>
      <w:r>
        <w:rPr>
          <w:rFonts w:hint="eastAsia"/>
          <w:b w:val="0"/>
          <w:bCs w:val="0"/>
          <w:highlight w:val="none"/>
        </w:rPr>
        <w:t>流花中心&amp;城壹汇流花</w:t>
      </w:r>
      <w:r>
        <w:rPr>
          <w:rFonts w:hint="eastAsia"/>
          <w:b w:val="0"/>
          <w:bCs w:val="0"/>
          <w:highlight w:val="none"/>
          <w:lang w:val="en-US" w:eastAsia="zh-CN"/>
        </w:rPr>
        <w:t>）、广州市城投资产经营管理有限公司花果山分公司（</w:t>
      </w:r>
      <w:r>
        <w:rPr>
          <w:rFonts w:hint="eastAsia"/>
          <w:b w:val="0"/>
          <w:bCs w:val="0"/>
          <w:highlight w:val="none"/>
        </w:rPr>
        <w:t>花果山超高清视频产业特色小镇</w:t>
      </w:r>
      <w:r>
        <w:rPr>
          <w:rFonts w:hint="eastAsia"/>
          <w:b w:val="0"/>
          <w:bCs w:val="0"/>
          <w:highlight w:val="none"/>
          <w:lang w:val="en-US" w:eastAsia="zh-CN"/>
        </w:rPr>
        <w:t>）共同签署合作协议。</w:t>
      </w:r>
    </w:p>
    <w:tbl>
      <w:tblPr>
        <w:tblStyle w:val="27"/>
        <w:tblW w:w="14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9"/>
        <w:gridCol w:w="387"/>
        <w:gridCol w:w="804"/>
        <w:gridCol w:w="5430"/>
        <w:gridCol w:w="661"/>
        <w:gridCol w:w="634"/>
        <w:gridCol w:w="27"/>
        <w:gridCol w:w="607"/>
        <w:gridCol w:w="15"/>
        <w:gridCol w:w="824"/>
        <w:gridCol w:w="835"/>
        <w:gridCol w:w="22"/>
        <w:gridCol w:w="893"/>
        <w:gridCol w:w="250"/>
        <w:gridCol w:w="740"/>
        <w:gridCol w:w="867"/>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14300"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36"/>
                <w:szCs w:val="36"/>
                <w:highlight w:val="none"/>
                <w:u w:val="none"/>
              </w:rPr>
            </w:pPr>
            <w:r>
              <w:rPr>
                <w:rFonts w:hint="eastAsia" w:ascii="仿宋" w:hAnsi="仿宋" w:eastAsia="仿宋" w:cs="仿宋"/>
                <w:b/>
                <w:i w:val="0"/>
                <w:color w:val="000000"/>
                <w:kern w:val="0"/>
                <w:sz w:val="36"/>
                <w:szCs w:val="36"/>
                <w:highlight w:val="none"/>
                <w:u w:val="none"/>
                <w:lang w:val="en-US" w:eastAsia="zh-CN" w:bidi="ar"/>
              </w:rPr>
              <w:t>2026年度城享慧商业会员系统建设与运营服务报价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FCE4D3"/>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功能/服务说明</w:t>
            </w:r>
          </w:p>
        </w:tc>
        <w:tc>
          <w:tcPr>
            <w:tcW w:w="6155" w:type="dxa"/>
            <w:gridSpan w:val="11"/>
            <w:tcBorders>
              <w:top w:val="single" w:color="000000" w:sz="4" w:space="0"/>
              <w:left w:val="single" w:color="000000" w:sz="4" w:space="0"/>
              <w:bottom w:val="single" w:color="000000" w:sz="4" w:space="0"/>
              <w:right w:val="single" w:color="000000" w:sz="4" w:space="0"/>
            </w:tcBorders>
            <w:shd w:val="clear" w:color="auto" w:fill="FCE4D3"/>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序号</w:t>
            </w:r>
          </w:p>
        </w:tc>
        <w:tc>
          <w:tcPr>
            <w:tcW w:w="38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功能分类</w:t>
            </w:r>
          </w:p>
        </w:tc>
        <w:tc>
          <w:tcPr>
            <w:tcW w:w="80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w:t>
            </w:r>
          </w:p>
        </w:tc>
        <w:tc>
          <w:tcPr>
            <w:tcW w:w="543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功能说明</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单位</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总部</w:t>
            </w:r>
          </w:p>
        </w:tc>
        <w:tc>
          <w:tcPr>
            <w:tcW w:w="824"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花城汇</w:t>
            </w:r>
          </w:p>
        </w:tc>
        <w:tc>
          <w:tcPr>
            <w:tcW w:w="835"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流花中心</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/城壹汇流花</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天河</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新天地</w:t>
            </w:r>
          </w:p>
        </w:tc>
        <w:tc>
          <w:tcPr>
            <w:tcW w:w="740"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城壹汇</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北京路</w:t>
            </w:r>
          </w:p>
        </w:tc>
        <w:tc>
          <w:tcPr>
            <w:tcW w:w="86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南站</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新天地</w:t>
            </w:r>
          </w:p>
        </w:tc>
        <w:tc>
          <w:tcPr>
            <w:tcW w:w="1075"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花果山</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后端功能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会员注册&amp;登录</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支持用户手机号快捷登录，对接城享慧原系统注册接口，实现数据统一留存。</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会员积分&amp;优惠券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支持会员积分数量、优惠券状态展示，对接城享慧原系统积分及优惠券接口，实现数据统一留存。每个ID兑换后N天不使用优惠券失效，积分自动退回。</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会员信息&amp;手册</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支持会员线上查看个人信息，编辑个人信息，包括会员头像、昵称、性别、生日。</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首页Banner轮播</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支持动态展示banner轮播广告，匹配后台配置图片及链接，实现小程序跳转、推文跳转等方式。</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5</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品牌导览</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支持入驻品牌信息展示，含门店图、电话及简介等。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支持上架商品，包含实物商品、优惠券、停车券、线下自提商品等。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停车缴费</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支持链接花城汇、流花中心等项目停车缴费系统，实现跳转缴费。</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无感积分（支付宝&amp;微信）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支持开通微信/支付宝无感积分，用户在已开通的商户消费，支持积分自动到账。</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小票积分（拍照积分）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支持用户拍照上传，人工审核后向会员账号派发积分。</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签到积分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支持用户每日签到获积分奖励，支持常规签到（每日签到获得固定积分），与递增型签到（连续签到获得递增积分奖励，支持设置递增的积分奖励上限）</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活动报名</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支持线上/线下开展DIY活动或其他活动，用户通过报名参与。</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项目介绍</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支持项目写字楼详情静态展示，含轮播图、面积、楼盘信息、亮点、导航地址等，并提供分享、预约、咨询等服务。</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场地租赁</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支持上传场地信息静态介绍，含场地轮播图、配置及介绍、门店导航地址，并支持设置添加预约联系方式。</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14</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微信客服（或企微客服）</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支持接入微信客服，方便用户咨询客服。可根据项目需要替换为各自项目企微客服。</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15</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开宝箱抽奖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次（可设置）抽奖机会，点击宝箱即可进行抽奖，可设置通过分享海报增加抽奖次数。</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扭蛋机抽奖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次（可设置）扭蛋机会，点击扭蛋即可进行抽奖，可设置通过分享海报增加抽奖次数。</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九宫格抽奖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次（可设置）抽奖机会，点击开始即可进行抽奖，可设置通过分享海报增加抽奖次数。</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积分红包活动（企微）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积分红包可用于企业的企微社群内进行发放类似微信群红包，发出为随机金额的积分。可批量根据社群人数自动配额生成等比的积分红包，可限制领取用户处于指定群。</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幸运集卡活动</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用户领卡后获得抽奖卡号，号码将自动参与每期的抽奖，同时邀请好友参与活动，好友领号后，将会与用户自动绑定好友关系，共享好友的幸运号，好友中奖，邀请者也会中奖。</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消费达标并成功积分可抽奖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支持对接会员系统会员消费数据，实现对会员消费金额的判断，支持按照活动需要配置指定金额，消费达到指定金额即可抽奖，奖品支持配置。（以微信无感积分/支付宝无感积分的订单为准）。</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定向派发优惠券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基于会员手机号，支持向特定人群精准派发优惠券。</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微信订阅通知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支持用户订阅通知服务，后续如抽奖提醒、活动开始、活动中奖、小票审核、预约结果等均可获通知，需城享慧系统支持。</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停车优惠券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支持上线不同等级/积分额度/时长的停车优惠券，基于停车缴费系统功能。</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24</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积分抵扣停车费</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基于城享慧已有功能，实现直接抵扣积分即可出场，基于停车缴费系统功能。</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4"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25</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项目需求定制整体前端页面，在各项目统一整体页面布局的基础上根据项目需求设计不同的配图，匹配城投商管品牌调性及各项目需求。设计包括小程序首页、小程序栏目页、小程序个人页等小程序所有页面。</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前端页面开发</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根据项目前端设计稿进行前端页面开发还原，包括banner轮播效果、活动展示效果、UGC呈现效果等。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27</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接口对接</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注册接口对接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优先对接城享慧原系统注册接口，实现各项目注册数据统一、会员身份统一等。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积分接口对接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优先对接城享慧原系统积分接口，实现各项目积分数据统一、动态变化数据呈现。</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优惠券接口对接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优先对接城享慧系统原优惠券接口，实现各项目会员活动派发城享慧优惠券。</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项目停车系统对接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对接项目停车系统，实现会员停车缴费跳转（同步支持花城汇停车券抵扣、城享慧原有积分抵扣功能，需原停车系统功能支持）。</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项目企微对接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对接项目企微，实现实现会员是否添加企微的判断，并应用到会员营销活动。</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项目公众号对接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对接项目公众号，同步公众号推文封面、标题等信息，实现项目公众号资讯动态更新展示。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33</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系统升级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系统升级覆盖子项目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针对系统已具备功能进行升级，对接城享慧多个接口，实现各子项目使用功能正常（包括积分商城、小票积分、无感积分等）。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34</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管理后台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支持会员状态查询，包括会员等级、会员当前积分、会员积分变动记录等。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35</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支持对会员优惠券进行后台管理，包括查询、配置、修改，包括停车券、商家券、礼品券等券类型。</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品牌管理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支持对入驻品牌进行后台管理，包括编辑品牌信息、品牌上下架展示状态等。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到访管理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支持对到访客户进行后台管理，包括到访信息查询、到访审批等。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小票审核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支持对会员上传的小票进行后台审核，包括小票状态、支付记录状态、审核结果反馈等。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报名审核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支持对会员报名的活动进行后台审核，包括报名状态、审核结果反馈等。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广告配置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支持对线上小程序特定广告位置进行配置，包括首页banner轮播、弹窗等。</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活动配置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支持对线上小程序活动进行配置，包括积分活动（积分秒杀、拍卖、夺宝等类型）、互动活动（抽奖、任务等类型），需会员系统具备对应活动功能。</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权限账号管理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支持隔离各商场间的组织权限和数据权限，保护各板块保护板块核心数据资产，防止跨部门人员随意访问用户隐私数据，降低数据泄露风险。</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会员系统建设服务各项目小计含税报价</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会员系统建设服务各项目合计含税报价</w:t>
            </w:r>
          </w:p>
        </w:tc>
        <w:tc>
          <w:tcPr>
            <w:tcW w:w="61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序号</w:t>
            </w:r>
          </w:p>
        </w:tc>
        <w:tc>
          <w:tcPr>
            <w:tcW w:w="38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工作名称</w:t>
            </w:r>
          </w:p>
        </w:tc>
        <w:tc>
          <w:tcPr>
            <w:tcW w:w="80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概述</w:t>
            </w:r>
          </w:p>
        </w:tc>
        <w:tc>
          <w:tcPr>
            <w:tcW w:w="543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详述</w:t>
            </w:r>
          </w:p>
        </w:tc>
        <w:tc>
          <w:tcPr>
            <w:tcW w:w="66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单位</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单价</w:t>
            </w:r>
          </w:p>
        </w:tc>
        <w:tc>
          <w:tcPr>
            <w:tcW w:w="60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总部</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花城汇</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流花中心/城壹汇流花</w:t>
            </w:r>
          </w:p>
        </w:tc>
        <w:tc>
          <w:tcPr>
            <w:tcW w:w="893"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天河新天地</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城壹汇北京路</w:t>
            </w:r>
          </w:p>
        </w:tc>
        <w:tc>
          <w:tcPr>
            <w:tcW w:w="86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南站新天地</w:t>
            </w:r>
          </w:p>
        </w:tc>
        <w:tc>
          <w:tcPr>
            <w:tcW w:w="1075"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花果山小镇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运营策略</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每月运营策略/指标</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配合总部及各项目进行会员价值体系的设计，设定/根据会员运营的价值评价指标，制定运营策略与目标指标。并根据项目特点输出会员运营指标的指标拆解与达成策略、手段的设计等策略工作。</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3"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2</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互动活动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互动活动（设计个性化）</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在已开发过的小程序活动模板（包括宝箱抽奖、大转盘抽奖、摇一摇抽奖、扭蛋机抽奖、积分竞猜、积分拍卖、积分夺宝等）中，个性化更换皮肤设计不改变游戏规则及活动逻辑：</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活动主题：活动主题、活动奖品、活动规则玩法等；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互动活动：活动页面设计，包括活动首页、中奖页、奖品图等（按需）；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 活动宣传线上物料设计：包括活动banner（按需）、活动弹窗设计（按需）；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①活动相关页面的配置：包括产品上架&amp;活动页面配置、奖品派发、活动banner&amp;弹窗配置等；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②活动过程数据统计：包括活动兑换人数、兑换核销状态、库存更新等。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*包含活动宣传相关线上物料设计及配置，包含H5活动工具复用，每次1个活动。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7"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互动活动（使用通用设计）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在已开发上线的小程序活动模板（包括宝箱抽奖、大转盘抽奖、摇一摇抽奖、扭蛋机抽奖、积分竞猜、积分拍卖、积分夺宝等）中，使用通用设计及活动逻辑：</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活动主题：活动主题、活动奖品、活动规则玩法等；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二、活动设计延展与宣传：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互动活动：活动页面设计延展，包括活动首页、中奖页、奖品图等（不修改通用设计，仅修改奖品图等信息）；</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 活动宣传线上物料设计：包括活动banner（按需）、活动弹窗设计（按需），（不修改通用设计，仅修改奖品图等信息）；</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①活动相关页面的配置：包括产品上架&amp;活动页面配置、奖品派发、活动banner&amp;弹窗配置等；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②活动过程数据统计：包括活动兑换人数、兑换核销状态、库存更新等。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*包含活动宣传相关线上宣传物料延展及配置，包含H5活动工具复用，每次1个活动。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4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4"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4</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线下活动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线下活动预约活动</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围绕线下现场活动，配置线上预约活动，引导用户报名参加：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一、信息搜集与配置上线：</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搜集整理报名信息、所需积分、活动时间、活动封面图等参与条件内容；</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配置上线，调整活动报名详情上线等执行工作；</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①活动封面图、活动banner、弹窗等素材设计（不含长图、海报等）；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②活动订阅通知配置及触达，及时通知报名用户参与活动；</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对活动预约用户进行信息收集管理、联系，并提供报名/参与情况。</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5</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年度活动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会员节/会员日</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围绕商场大事件或品牌营销需求，策划开展主题系列活动，推进活动落地，实现活动目标：</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活动主题、活动机制策划，活动奖品、活动规则玩法等；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①活动&amp;游戏页面设计：包括活动首页设计、活动抽奖页面设计（按需）、活动海报设计（按需）；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①活动宣传线上物料设计：包括活动banner（按需）、活动弹窗设计（按需）；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①活动相关页面的配置：包括活动&amp;游戏页面配置、活动中奖率调整、活动banner&amp;弹窗配置等；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②活动过程数据统计：包括活动参与人数、裂变人数、抽奖人数、中奖人数等。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*包含活动宣传首页设计及配置，不包含H5活动工具开发。</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4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6</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线下物料设计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线下会员物料设计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针对会员系统运营需求对展出的线下物料进行主题策划及设计更新，包括积分兑换、停车优惠、会员等级、无感积分等方面的宣传物料，每套物料包含不超过10张不同内容或尺寸海报/素材设计（可多项目复用）。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线下会员物料设计延展</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使用已完成的设计文件，进行线下物料的宣传物料尺寸延展（可小幅改动文字等内容），每套物料包含不超过10张不同内容或尺寸海报/素材设计。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1"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线上物料设计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线上会员物料设计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按需进行其他线上物料设计工作，包括小程序首页banner、弹窗等（具体按需），每套物料包含不超过3个不同尺寸的素材设计。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备注：互动活动、线下活动、年度活动等会员活动中已包含的无需计算该项数量。</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9</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线上主题设计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会员系统UI设计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按需设计周年庆、新年等主题小程序页面UI，包括小程序首页ICON、金刚区、banner、弹窗、我的页面等整套页面的设计更新。</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小程序客服</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客服咨询处理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法定工作日每天8小时，9:00-17:00工作时间内（平均30分钟内）响应用户的咨询。服务内容：处理会员活动、会员订单、会员投诉等类型问题，并根据问题类型流转对应方处理，完成客户咨询解答。</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11</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会员信息管理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根据需求进行会员身份管理（注销等）、会员积分管理（增加扣减等）、会员优惠券管理（定向派发等）。</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12</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广告位管理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会员平台广告位上传与更新维护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根据需求对会员平台的广告位进行上下架与配置工作，包含每月不超过3张Banner设计。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13</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优惠券板块上传与更新维护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商场权益、商家权益等优惠券的上下架与配置工作，包括优惠券名称、有效期等内容，包含每月不超过5张优惠券小图设计。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1"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14</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积分商城板块上传与更新维护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在积分商城上传积分兑换产品并定期更新并根据需求进行的积分兑换的配置更新，包含素材图简单设计，每月不超过10款商品。</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备注：优惠券以兑换形式上架在积分商城无需另外计算优惠券配置次数。</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15</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会员积分管理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消费积分审核/商圈积分补录处理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负责会员系统的用户消费积分审核/商圈积分补录工作处理。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无感积分圈店</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无感积分店铺增加</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协助完成无感积分店铺圈店工作，包括项目现场商家沟通、后台积分配置等（以项目实际情况为准）。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1"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17</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数据分析管理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数据统计报告</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以月为单位，基于会员系统可查询的数据，输出会员系统相关数据的统计报告（Excel格式）：包括对整个会员系统各个功能进行数据收集统计分析（会员新增注册、新小程序访客、注册率等）；对小票积分、微信无感积分、支付宝无感积分等消费积分情况进行统计分析（消费人数、消费次数、消费金额等）；对会员活动相关数据进行汇总整理统计分析（活动参与人数、活动参与次数等）。</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4"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运营总结报告</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阶段性会员运营总结报告，基于会员系统可查询的数据，全方位输出会员运营阶段性成果及后续运营计划（PPT格式）：</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数据统计分析（阶段总结）：包括对整个会员系统各个功能进行数据收集统计分析（会员新增注册、新小程序访客、注册率等）；对小票积分、微信无感积分、支付宝无感积分等消费积分情况进行统计分析（消费人数、消费次数、消费金额等）；对会员活动相关数据进行汇总整理统计分析（活动参与人数、活动参与次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②行业调研分享（调研总结）：对商业地产项目会员运营动态、活动进行调研，总结调研分享报告，指引后续运营计划制定。</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③后续运营计划（规划建议）：结合项目会员运营数据统计分析、行业调研分享制定后续运营计划，包括会员拉新、会员促活、会员转化消费等维度运营计划建议。</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2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19</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系统技术运维</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日常系统技术运维</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包括对会员信息统计、会员无感积分/小票积分、停车缴费、积分兑换、积分活动等功能的系统技术运维或沟通工作（与对应开发方）。</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会员代运营服务各项目小计含税报价</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1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会员代运营服务各项目合计含税报价</w:t>
            </w:r>
          </w:p>
        </w:tc>
        <w:tc>
          <w:tcPr>
            <w:tcW w:w="61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4"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不含税总计</w:t>
            </w:r>
          </w:p>
        </w:tc>
        <w:tc>
          <w:tcPr>
            <w:tcW w:w="615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2"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含税总计</w:t>
            </w:r>
          </w:p>
        </w:tc>
        <w:tc>
          <w:tcPr>
            <w:tcW w:w="615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highlight w:val="none"/>
                <w:u w:val="none"/>
              </w:rPr>
            </w:pPr>
          </w:p>
        </w:tc>
      </w:tr>
    </w:tbl>
    <w:p>
      <w:pPr>
        <w:spacing w:line="15" w:lineRule="auto"/>
        <w:rPr>
          <w:rFonts w:hint="eastAsia" w:eastAsia="宋体"/>
          <w:highlight w:val="none"/>
          <w:lang w:val="en-US" w:eastAsia="zh-CN"/>
        </w:rPr>
        <w:sectPr>
          <w:pgSz w:w="16838" w:h="11906" w:orient="landscape"/>
          <w:pgMar w:top="1800" w:right="1440" w:bottom="1800" w:left="1440" w:header="851" w:footer="992" w:gutter="0"/>
          <w:cols w:space="720" w:num="1"/>
          <w:docGrid w:type="lines" w:linePitch="312" w:charSpace="0"/>
        </w:sectPr>
      </w:pPr>
    </w:p>
    <w:p>
      <w:pPr>
        <w:pStyle w:val="2"/>
        <w:ind w:firstLine="0"/>
        <w:rPr>
          <w:rFonts w:hint="eastAsia" w:hAnsi="宋体" w:cs="宋体"/>
          <w:highlight w:val="none"/>
        </w:rPr>
      </w:pPr>
      <w:r>
        <w:rPr>
          <w:rFonts w:hint="eastAsia" w:hAnsi="宋体" w:cs="宋体"/>
          <w:b/>
          <w:sz w:val="32"/>
          <w:szCs w:val="32"/>
          <w:highlight w:val="none"/>
        </w:rPr>
        <w:t>四、评审/选定方法及标准</w:t>
      </w:r>
    </w:p>
    <w:p>
      <w:pPr>
        <w:rPr>
          <w:rFonts w:hint="eastAsia" w:ascii="宋体" w:hAnsi="宋体" w:cs="宋体"/>
          <w:highlight w:val="none"/>
        </w:rPr>
      </w:pPr>
    </w:p>
    <w:tbl>
      <w:tblPr>
        <w:tblStyle w:val="27"/>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ind w:right="-358"/>
              <w:rPr>
                <w:rFonts w:hint="eastAsia" w:ascii="宋体" w:hAnsi="宋体" w:cs="宋体"/>
                <w:bCs/>
                <w:szCs w:val="21"/>
                <w:highlight w:val="none"/>
              </w:rPr>
            </w:pPr>
            <w:r>
              <w:rPr>
                <w:rFonts w:hint="eastAsia" w:ascii="宋体" w:hAnsi="宋体" w:cs="宋体"/>
                <w:bCs/>
                <w:szCs w:val="21"/>
                <w:highlight w:val="none"/>
              </w:rPr>
              <w:t>项 号</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bCs/>
                <w:szCs w:val="21"/>
                <w:highlight w:val="none"/>
              </w:rPr>
            </w:pPr>
            <w:r>
              <w:rPr>
                <w:rFonts w:hint="eastAsia" w:ascii="宋体" w:hAnsi="宋体" w:cs="宋体"/>
                <w:bCs/>
                <w:szCs w:val="21"/>
                <w:highlight w:val="none"/>
              </w:rPr>
              <w:t>内    容</w:t>
            </w:r>
          </w:p>
        </w:tc>
        <w:tc>
          <w:tcPr>
            <w:tcW w:w="662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40" w:lineRule="atLeast"/>
              <w:jc w:val="center"/>
              <w:rPr>
                <w:rFonts w:hint="eastAsia" w:ascii="宋体" w:hAnsi="宋体" w:cs="宋体"/>
                <w:bCs/>
                <w:szCs w:val="21"/>
                <w:highlight w:val="none"/>
              </w:rPr>
            </w:pPr>
            <w:r>
              <w:rPr>
                <w:rFonts w:hint="eastAsia" w:ascii="宋体" w:hAnsi="宋体" w:cs="宋体"/>
                <w:bCs/>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评审办法</w:t>
            </w:r>
          </w:p>
        </w:tc>
        <w:tc>
          <w:tcPr>
            <w:tcW w:w="6624"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宋体" w:hAnsi="宋体" w:cs="宋体"/>
                <w:szCs w:val="21"/>
                <w:highlight w:val="none"/>
              </w:rPr>
            </w:pPr>
            <w:r>
              <w:rPr>
                <w:rFonts w:hint="eastAsia" w:ascii="宋体" w:hAnsi="宋体" w:cs="宋体"/>
                <w:szCs w:val="21"/>
                <w:highlight w:val="none"/>
              </w:rPr>
              <w:t>综合评分法（具体评审标准见后附表）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评审原则</w:t>
            </w:r>
          </w:p>
        </w:tc>
        <w:tc>
          <w:tcPr>
            <w:tcW w:w="6624" w:type="dxa"/>
            <w:tcBorders>
              <w:top w:val="single" w:color="auto" w:sz="4" w:space="0"/>
              <w:left w:val="single" w:color="auto" w:sz="4" w:space="0"/>
              <w:bottom w:val="single" w:color="auto" w:sz="4" w:space="0"/>
              <w:right w:val="single" w:color="auto" w:sz="4" w:space="0"/>
            </w:tcBorders>
            <w:vAlign w:val="center"/>
          </w:tcPr>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按有关法律、法律及相关规定组建评审小组负责本次采购项目具体评审工作，本着公平、公正、科学、择优的原则，按照采购文件的要求/标准推荐评审结果。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3</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资格/符合性审查</w:t>
            </w:r>
          </w:p>
        </w:tc>
        <w:tc>
          <w:tcPr>
            <w:tcW w:w="6624" w:type="dxa"/>
            <w:tcBorders>
              <w:top w:val="single" w:color="auto" w:sz="4" w:space="0"/>
              <w:left w:val="single" w:color="auto" w:sz="4" w:space="0"/>
              <w:bottom w:val="single" w:color="auto" w:sz="4" w:space="0"/>
              <w:right w:val="single" w:color="auto" w:sz="4" w:space="0"/>
            </w:tcBorders>
            <w:vAlign w:val="center"/>
          </w:tcPr>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1. 评审小组将根据采购文件的规定，对各竞投文件进行资格及符合性审查。（具体审查标准见后附表）</w:t>
            </w:r>
          </w:p>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2. 符合性审查结论意见采取少数服从多数原则，即超过半数评审人员的结论为“通过”则该竞投人通过资格及符合性审查，否则不通过。</w:t>
            </w:r>
          </w:p>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3. 不能通过资格及符合性审查的竞投文件，不得参与综合评审排序。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4</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竞投文件的澄清</w:t>
            </w:r>
          </w:p>
        </w:tc>
        <w:tc>
          <w:tcPr>
            <w:tcW w:w="6624" w:type="dxa"/>
            <w:tcBorders>
              <w:top w:val="single" w:color="auto" w:sz="4" w:space="0"/>
              <w:left w:val="single" w:color="auto" w:sz="4" w:space="0"/>
              <w:bottom w:val="single" w:color="auto" w:sz="4" w:space="0"/>
              <w:right w:val="single" w:color="auto" w:sz="4" w:space="0"/>
            </w:tcBorders>
            <w:vAlign w:val="center"/>
          </w:tcPr>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1.对竞投文件中含义不明确、同类问题表述不一致或者有明显文字和计算错误的内容，评审小组可以书面形式要求竞投人作出必要的澄清、说明或者纠正。</w:t>
            </w:r>
          </w:p>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2.竞投人的澄清、说明或者补正应当采用书面形式，由其授权的代表签字，并不得超出竞投文件的范围或者改变竞投文件的实质性内容。</w:t>
            </w:r>
          </w:p>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3.除上述规定的情形之外，评审小组在评审过程中，不得接收来自评审现场以外的任何形式的文件资料。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评审标准</w:t>
            </w:r>
          </w:p>
        </w:tc>
        <w:tc>
          <w:tcPr>
            <w:tcW w:w="6624" w:type="dxa"/>
            <w:tcBorders>
              <w:top w:val="single" w:color="auto" w:sz="4" w:space="0"/>
              <w:left w:val="single" w:color="auto" w:sz="4" w:space="0"/>
              <w:bottom w:val="single" w:color="auto" w:sz="4" w:space="0"/>
              <w:right w:val="single" w:color="auto" w:sz="4" w:space="0"/>
            </w:tcBorders>
            <w:vAlign w:val="center"/>
          </w:tcPr>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 xml:space="preserve">1.由评审人员对所有有效竞投文件进行评审和排序。（具体评审标准见后附表） </w:t>
            </w:r>
          </w:p>
          <w:p>
            <w:pPr>
              <w:pStyle w:val="16"/>
              <w:widowControl/>
              <w:spacing w:line="240" w:lineRule="atLeast"/>
              <w:jc w:val="both"/>
              <w:rPr>
                <w:rFonts w:hint="eastAsia" w:ascii="宋体" w:hAnsi="宋体" w:cs="宋体"/>
                <w:szCs w:val="21"/>
                <w:highlight w:val="none"/>
              </w:rPr>
            </w:pPr>
            <w:r>
              <w:rPr>
                <w:rFonts w:hint="eastAsia" w:ascii="宋体" w:hAnsi="宋体" w:cs="宋体"/>
                <w:szCs w:val="21"/>
                <w:highlight w:val="none"/>
              </w:rPr>
              <w:t>2.得分按四舍五入原则精确到小数点后两位。将综合评分由高到低顺序排列。综合评分相同的，按竞投价由低到高顺序排列；综合评分相同，且竞投价相同的，按服务方案的评分由高到低顺序排列。综合评分相同，且竞投价和服务方案评分均相同的，名次由评审人员会抽签决定。评审人员会按上述排列向采购人推荐前3名为中选候选人。</w:t>
            </w:r>
          </w:p>
        </w:tc>
      </w:tr>
    </w:tbl>
    <w:p>
      <w:pPr>
        <w:rPr>
          <w:rFonts w:hint="eastAsia" w:ascii="宋体" w:hAnsi="宋体" w:cs="宋体"/>
          <w:highlight w:val="none"/>
        </w:rPr>
      </w:pPr>
    </w:p>
    <w:bookmarkEnd w:id="17"/>
    <w:bookmarkEnd w:id="18"/>
    <w:bookmarkEnd w:id="19"/>
    <w:bookmarkEnd w:id="20"/>
    <w:bookmarkEnd w:id="21"/>
    <w:p>
      <w:pPr>
        <w:pStyle w:val="5"/>
        <w:spacing w:line="240" w:lineRule="auto"/>
        <w:rPr>
          <w:rFonts w:hint="eastAsia" w:ascii="宋体" w:hAnsi="宋体" w:eastAsia="宋体" w:cs="宋体"/>
          <w:b w:val="0"/>
          <w:sz w:val="24"/>
          <w:szCs w:val="24"/>
          <w:highlight w:val="none"/>
        </w:rPr>
        <w:sectPr>
          <w:pgSz w:w="11906" w:h="16838"/>
          <w:pgMar w:top="1440" w:right="1800" w:bottom="1440" w:left="1800" w:header="851" w:footer="992" w:gutter="0"/>
          <w:cols w:space="720" w:num="1"/>
          <w:docGrid w:type="lines" w:linePitch="312" w:charSpace="0"/>
        </w:sectPr>
      </w:pPr>
      <w:bookmarkStart w:id="24" w:name="_Toc334797765"/>
    </w:p>
    <w:p>
      <w:pPr>
        <w:pStyle w:val="5"/>
        <w:spacing w:line="24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评审/选定方法及标准-附表：</w:t>
      </w:r>
    </w:p>
    <w:p>
      <w:pPr>
        <w:pStyle w:val="5"/>
        <w:spacing w:line="240" w:lineRule="auto"/>
        <w:jc w:val="center"/>
        <w:rPr>
          <w:rFonts w:hint="eastAsia" w:ascii="宋体" w:hAnsi="宋体" w:eastAsia="宋体" w:cs="宋体"/>
          <w:sz w:val="30"/>
          <w:szCs w:val="30"/>
          <w:highlight w:val="none"/>
        </w:rPr>
      </w:pPr>
      <w:bookmarkStart w:id="25" w:name="OLE_LINK3"/>
      <w:bookmarkStart w:id="26" w:name="OLE_LINK2"/>
      <w:r>
        <w:rPr>
          <w:rFonts w:hint="eastAsia" w:ascii="宋体" w:hAnsi="宋体" w:eastAsia="宋体" w:cs="宋体"/>
          <w:sz w:val="30"/>
          <w:szCs w:val="30"/>
          <w:highlight w:val="none"/>
        </w:rPr>
        <w:t>资格及符合性审查表</w:t>
      </w:r>
      <w:bookmarkEnd w:id="24"/>
    </w:p>
    <w:p>
      <w:pPr>
        <w:spacing w:line="360" w:lineRule="auto"/>
        <w:jc w:val="left"/>
        <w:rPr>
          <w:rFonts w:hint="eastAsia" w:ascii="宋体" w:hAnsi="宋体" w:cs="宋体"/>
          <w:szCs w:val="21"/>
          <w:highlight w:val="none"/>
        </w:rPr>
      </w:pPr>
      <w:r>
        <w:rPr>
          <w:rFonts w:hint="eastAsia" w:ascii="宋体" w:hAnsi="宋体" w:cs="宋体"/>
          <w:szCs w:val="21"/>
          <w:highlight w:val="none"/>
        </w:rPr>
        <w:t xml:space="preserve">项目名称：2026年度城享慧商业会员系统建设与运营服务项目                                  </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151"/>
        <w:gridCol w:w="1077"/>
        <w:gridCol w:w="102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49" w:type="pct"/>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2959" w:type="pct"/>
            <w:vAlign w:val="center"/>
          </w:tcPr>
          <w:p>
            <w:pPr>
              <w:jc w:val="center"/>
              <w:rPr>
                <w:rFonts w:hint="eastAsia" w:ascii="宋体" w:hAnsi="宋体" w:cs="宋体"/>
                <w:color w:val="000000"/>
                <w:szCs w:val="21"/>
                <w:highlight w:val="none"/>
              </w:rPr>
            </w:pPr>
            <w:r>
              <w:rPr>
                <w:rFonts w:hint="eastAsia" w:ascii="宋体" w:hAnsi="宋体" w:cs="宋体"/>
                <w:bCs/>
                <w:color w:val="000000"/>
                <w:szCs w:val="21"/>
                <w:highlight w:val="none"/>
              </w:rPr>
              <w:t>评审内容</w:t>
            </w:r>
          </w:p>
        </w:tc>
        <w:tc>
          <w:tcPr>
            <w:tcW w:w="651" w:type="pct"/>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竞投人A</w:t>
            </w:r>
          </w:p>
        </w:tc>
        <w:tc>
          <w:tcPr>
            <w:tcW w:w="620" w:type="pct"/>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竞投人B</w:t>
            </w:r>
          </w:p>
        </w:tc>
        <w:tc>
          <w:tcPr>
            <w:tcW w:w="518" w:type="pct"/>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竞投人C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49" w:type="pct"/>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2959" w:type="pct"/>
            <w:vAlign w:val="center"/>
          </w:tcPr>
          <w:p>
            <w:pPr>
              <w:rPr>
                <w:rFonts w:hint="eastAsia" w:ascii="宋体" w:hAnsi="宋体" w:cs="宋体"/>
                <w:color w:val="000000"/>
                <w:szCs w:val="21"/>
                <w:highlight w:val="none"/>
              </w:rPr>
            </w:pPr>
            <w:r>
              <w:rPr>
                <w:rFonts w:hint="eastAsia" w:ascii="宋体" w:hAnsi="宋体" w:cs="宋体"/>
                <w:szCs w:val="21"/>
                <w:highlight w:val="none"/>
              </w:rPr>
              <w:t>竞投人必须是国内合法注册的法人或其他组织。（提供营业执照或其他证明文件）</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249" w:type="pct"/>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2959" w:type="pct"/>
            <w:vAlign w:val="center"/>
          </w:tcPr>
          <w:p>
            <w:pPr>
              <w:pStyle w:val="16"/>
              <w:widowControl/>
              <w:spacing w:line="240" w:lineRule="atLeast"/>
              <w:rPr>
                <w:rFonts w:hint="eastAsia" w:ascii="宋体" w:hAnsi="宋体" w:cs="宋体"/>
                <w:color w:val="000000"/>
                <w:szCs w:val="21"/>
                <w:highlight w:val="none"/>
              </w:rPr>
            </w:pPr>
            <w:r>
              <w:rPr>
                <w:rFonts w:hint="eastAsia" w:ascii="宋体" w:hAnsi="宋体" w:cs="宋体"/>
                <w:szCs w:val="21"/>
                <w:highlight w:val="none"/>
              </w:rPr>
              <w:t>竞投人未被中国执行信息公开网（zxgk.court.gov.cn）列入“失信被执行人”的名单，且未被信用中国网站（https://www.creditchina.gov.cn/xinxigongshi/)列入“重大税收违法失信主体”“严重失信主体名单”。（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9" w:type="pct"/>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2959" w:type="pct"/>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单位负责人为同一人或者存在直接控股、管理关系的不同供应商，不得同时参加本项目的竞投。（依据竞投函）</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9" w:type="pct"/>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2959" w:type="pct"/>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本项目不接受联合体竞投。</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9" w:type="pct"/>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2959" w:type="pct"/>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竞投人需提供有效法人证明书及授权委托书；法定代表人及被授权人身份证复印件。</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9" w:type="pct"/>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2959" w:type="pct"/>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竞投报价唯一且不高于采购人规定的最高限价。</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49" w:type="pct"/>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2959" w:type="pct"/>
            <w:vAlign w:val="center"/>
          </w:tcPr>
          <w:p>
            <w:pPr>
              <w:pStyle w:val="25"/>
              <w:spacing w:before="0" w:beforeAutospacing="0" w:after="0" w:afterAutospacing="0" w:line="240" w:lineRule="auto"/>
              <w:rPr>
                <w:rFonts w:hint="eastAsia" w:ascii="宋体" w:hAnsi="宋体" w:cs="宋体"/>
                <w:color w:val="000000"/>
                <w:kern w:val="2"/>
                <w:sz w:val="21"/>
                <w:szCs w:val="21"/>
                <w:highlight w:val="none"/>
              </w:rPr>
            </w:pPr>
            <w:r>
              <w:rPr>
                <w:rFonts w:hint="eastAsia" w:ascii="宋体" w:hAnsi="宋体" w:cs="宋体"/>
                <w:color w:val="000000"/>
                <w:kern w:val="2"/>
                <w:sz w:val="21"/>
                <w:szCs w:val="21"/>
                <w:highlight w:val="none"/>
              </w:rPr>
              <w:t>不存在以下无效参选的其他情形</w:t>
            </w:r>
          </w:p>
          <w:p>
            <w:pPr>
              <w:pStyle w:val="25"/>
              <w:numPr>
                <w:ilvl w:val="0"/>
                <w:numId w:val="4"/>
              </w:numPr>
              <w:spacing w:before="0" w:beforeAutospacing="0" w:after="0" w:afterAutospacing="0" w:line="240" w:lineRule="auto"/>
              <w:rPr>
                <w:rFonts w:hint="eastAsia"/>
                <w:b w:val="0"/>
                <w:color w:val="000000"/>
                <w:kern w:val="2"/>
                <w:sz w:val="21"/>
                <w:szCs w:val="21"/>
                <w:highlight w:val="none"/>
              </w:rPr>
            </w:pPr>
            <w:r>
              <w:rPr>
                <w:rFonts w:hint="eastAsia"/>
                <w:b w:val="0"/>
                <w:color w:val="000000"/>
                <w:kern w:val="2"/>
                <w:sz w:val="21"/>
                <w:szCs w:val="21"/>
                <w:highlight w:val="none"/>
              </w:rPr>
              <w:t>参选文件提供虚假材料的；</w:t>
            </w:r>
          </w:p>
          <w:p>
            <w:pPr>
              <w:pStyle w:val="25"/>
              <w:spacing w:before="0" w:beforeAutospacing="0" w:after="0" w:afterAutospacing="0" w:line="240" w:lineRule="auto"/>
              <w:rPr>
                <w:rFonts w:hint="eastAsia" w:ascii="宋体" w:hAnsi="宋体" w:cs="宋体"/>
                <w:color w:val="000000"/>
                <w:szCs w:val="21"/>
                <w:highlight w:val="none"/>
              </w:rPr>
            </w:pPr>
            <w:r>
              <w:rPr>
                <w:rFonts w:hint="eastAsia"/>
                <w:b w:val="0"/>
                <w:color w:val="000000"/>
                <w:kern w:val="2"/>
                <w:sz w:val="21"/>
                <w:szCs w:val="21"/>
                <w:highlight w:val="none"/>
              </w:rPr>
              <w:t>（2）供应商以他人名义参选、串通参选、以行贿手段谋取中选或者以其他弄虚作假方式参选的。</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09" w:type="pct"/>
            <w:gridSpan w:val="2"/>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结论（通过/不通过）</w:t>
            </w:r>
          </w:p>
        </w:tc>
        <w:tc>
          <w:tcPr>
            <w:tcW w:w="651" w:type="pct"/>
            <w:vAlign w:val="center"/>
          </w:tcPr>
          <w:p>
            <w:pPr>
              <w:rPr>
                <w:rFonts w:hint="eastAsia" w:ascii="宋体" w:hAnsi="宋体" w:cs="宋体"/>
                <w:color w:val="000000"/>
                <w:szCs w:val="21"/>
                <w:highlight w:val="none"/>
              </w:rPr>
            </w:pPr>
          </w:p>
        </w:tc>
        <w:tc>
          <w:tcPr>
            <w:tcW w:w="620" w:type="pct"/>
            <w:vAlign w:val="center"/>
          </w:tcPr>
          <w:p>
            <w:pPr>
              <w:rPr>
                <w:rFonts w:hint="eastAsia" w:ascii="宋体" w:hAnsi="宋体" w:cs="宋体"/>
                <w:color w:val="000000"/>
                <w:szCs w:val="21"/>
                <w:highlight w:val="none"/>
              </w:rPr>
            </w:pPr>
          </w:p>
        </w:tc>
        <w:tc>
          <w:tcPr>
            <w:tcW w:w="518" w:type="pct"/>
            <w:vAlign w:val="center"/>
          </w:tcPr>
          <w:p>
            <w:pPr>
              <w:rPr>
                <w:rFonts w:hint="eastAsia" w:ascii="宋体" w:hAnsi="宋体" w:cs="宋体"/>
                <w:color w:val="000000"/>
                <w:szCs w:val="21"/>
                <w:highlight w:val="none"/>
              </w:rPr>
            </w:pPr>
          </w:p>
        </w:tc>
      </w:tr>
    </w:tbl>
    <w:p>
      <w:pPr>
        <w:spacing w:line="360" w:lineRule="auto"/>
        <w:jc w:val="left"/>
        <w:rPr>
          <w:rFonts w:hint="eastAsia" w:ascii="宋体" w:hAnsi="宋体" w:cs="宋体"/>
          <w:szCs w:val="21"/>
          <w:highlight w:val="none"/>
        </w:rPr>
      </w:pPr>
      <w:r>
        <w:rPr>
          <w:rFonts w:hint="eastAsia" w:ascii="宋体" w:hAnsi="宋体" w:cs="宋体"/>
          <w:szCs w:val="21"/>
          <w:highlight w:val="none"/>
        </w:rPr>
        <w:t>（请在通过符合性审查框中打“√”，反之打“×”。）</w:t>
      </w:r>
    </w:p>
    <w:p>
      <w:pPr>
        <w:rPr>
          <w:rFonts w:hint="eastAsia" w:ascii="宋体" w:hAnsi="宋体" w:cs="宋体"/>
          <w:b/>
          <w:bCs/>
          <w:color w:val="000000"/>
          <w:sz w:val="32"/>
          <w:szCs w:val="32"/>
          <w:highlight w:val="none"/>
        </w:rPr>
      </w:pPr>
    </w:p>
    <w:p>
      <w:pPr>
        <w:widowControl/>
        <w:jc w:val="left"/>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br w:type="page"/>
      </w:r>
    </w:p>
    <w:p>
      <w:pPr>
        <w:jc w:val="center"/>
        <w:rPr>
          <w:rFonts w:hint="eastAsia" w:ascii="宋体" w:hAnsi="宋体" w:cs="宋体"/>
          <w:highlight w:val="none"/>
        </w:rPr>
      </w:pPr>
      <w:r>
        <w:rPr>
          <w:rFonts w:hint="eastAsia" w:ascii="宋体" w:hAnsi="宋体" w:cs="宋体"/>
          <w:b/>
          <w:bCs/>
          <w:color w:val="000000"/>
          <w:sz w:val="32"/>
          <w:szCs w:val="32"/>
          <w:highlight w:val="none"/>
        </w:rPr>
        <w:t>综合评分表</w:t>
      </w:r>
    </w:p>
    <w:tbl>
      <w:tblPr>
        <w:tblStyle w:val="27"/>
        <w:tblW w:w="9494" w:type="dxa"/>
        <w:jc w:val="center"/>
        <w:tblLayout w:type="autofit"/>
        <w:tblCellMar>
          <w:top w:w="0" w:type="dxa"/>
          <w:left w:w="108" w:type="dxa"/>
          <w:bottom w:w="0" w:type="dxa"/>
          <w:right w:w="108" w:type="dxa"/>
        </w:tblCellMar>
      </w:tblPr>
      <w:tblGrid>
        <w:gridCol w:w="1647"/>
        <w:gridCol w:w="1380"/>
        <w:gridCol w:w="5590"/>
        <w:gridCol w:w="877"/>
      </w:tblGrid>
      <w:tr>
        <w:tblPrEx>
          <w:tblCellMar>
            <w:top w:w="0" w:type="dxa"/>
            <w:left w:w="108" w:type="dxa"/>
            <w:bottom w:w="0" w:type="dxa"/>
            <w:right w:w="108" w:type="dxa"/>
          </w:tblCellMar>
        </w:tblPrEx>
        <w:trPr>
          <w:trHeight w:val="606" w:hRule="atLeas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评分项目</w:t>
            </w:r>
          </w:p>
        </w:tc>
        <w:tc>
          <w:tcPr>
            <w:tcW w:w="13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分值</w:t>
            </w:r>
          </w:p>
        </w:tc>
        <w:tc>
          <w:tcPr>
            <w:tcW w:w="55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评审标准</w:t>
            </w:r>
          </w:p>
        </w:tc>
        <w:tc>
          <w:tcPr>
            <w:tcW w:w="87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得分</w:t>
            </w:r>
          </w:p>
        </w:tc>
      </w:tr>
      <w:tr>
        <w:tblPrEx>
          <w:tblCellMar>
            <w:top w:w="0" w:type="dxa"/>
            <w:left w:w="108" w:type="dxa"/>
            <w:bottom w:w="0" w:type="dxa"/>
            <w:right w:w="108" w:type="dxa"/>
          </w:tblCellMar>
        </w:tblPrEx>
        <w:trPr>
          <w:trHeight w:val="953" w:hRule="atLeast"/>
          <w:jc w:val="center"/>
        </w:trPr>
        <w:tc>
          <w:tcPr>
            <w:tcW w:w="1647"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项目服务经验</w:t>
            </w:r>
          </w:p>
        </w:tc>
        <w:tc>
          <w:tcPr>
            <w:tcW w:w="138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5590" w:type="dxa"/>
            <w:tcBorders>
              <w:top w:val="nil"/>
              <w:left w:val="nil"/>
              <w:bottom w:val="single" w:color="auto" w:sz="4" w:space="0"/>
              <w:right w:val="single" w:color="auto" w:sz="4" w:space="0"/>
            </w:tcBorders>
            <w:vAlign w:val="center"/>
          </w:tcPr>
          <w:p>
            <w:pPr>
              <w:widowControl/>
              <w:adjustRightInd w:val="0"/>
              <w:snapToGrid w:val="0"/>
              <w:jc w:val="left"/>
              <w:rPr>
                <w:highlight w:val="none"/>
              </w:rPr>
            </w:pPr>
            <w:r>
              <w:rPr>
                <w:rFonts w:hint="eastAsia"/>
                <w:highlight w:val="none"/>
              </w:rPr>
              <w:t>竞投人提供公司2023年1月1日至今会员运营服务经验，</w:t>
            </w:r>
          </w:p>
          <w:p>
            <w:pPr>
              <w:widowControl/>
              <w:adjustRightInd w:val="0"/>
              <w:snapToGrid w:val="0"/>
              <w:jc w:val="left"/>
              <w:rPr>
                <w:highlight w:val="none"/>
              </w:rPr>
            </w:pPr>
            <w:r>
              <w:rPr>
                <w:rFonts w:hint="eastAsia"/>
                <w:highlight w:val="none"/>
              </w:rPr>
              <w:t>每提供一项得2分，最高得10分。请附上同类项目案例证明资料（如中标通知书、合同等）。</w:t>
            </w:r>
          </w:p>
        </w:tc>
        <w:tc>
          <w:tcPr>
            <w:tcW w:w="877"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cs="宋体"/>
                <w:kern w:val="0"/>
                <w:szCs w:val="21"/>
                <w:highlight w:val="none"/>
              </w:rPr>
            </w:pPr>
          </w:p>
        </w:tc>
      </w:tr>
      <w:tr>
        <w:tblPrEx>
          <w:tblCellMar>
            <w:top w:w="0" w:type="dxa"/>
            <w:left w:w="108" w:type="dxa"/>
            <w:bottom w:w="0" w:type="dxa"/>
            <w:right w:w="108" w:type="dxa"/>
          </w:tblCellMar>
        </w:tblPrEx>
        <w:trPr>
          <w:trHeight w:val="1474" w:hRule="atLeast"/>
          <w:jc w:val="center"/>
        </w:trPr>
        <w:tc>
          <w:tcPr>
            <w:tcW w:w="1647" w:type="dxa"/>
            <w:vMerge w:val="restart"/>
            <w:tcBorders>
              <w:top w:val="nil"/>
              <w:left w:val="single" w:color="auto" w:sz="4" w:space="0"/>
              <w:right w:val="single" w:color="auto" w:sz="4" w:space="0"/>
            </w:tcBorders>
            <w:vAlign w:val="center"/>
          </w:tcPr>
          <w:p>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项目服务方案</w:t>
            </w:r>
          </w:p>
        </w:tc>
        <w:tc>
          <w:tcPr>
            <w:tcW w:w="138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20分</w:t>
            </w:r>
          </w:p>
        </w:tc>
        <w:tc>
          <w:tcPr>
            <w:tcW w:w="5590" w:type="dxa"/>
            <w:tcBorders>
              <w:top w:val="nil"/>
              <w:left w:val="nil"/>
              <w:bottom w:val="single" w:color="auto" w:sz="4" w:space="0"/>
              <w:right w:val="single" w:color="auto" w:sz="4" w:space="0"/>
            </w:tcBorders>
            <w:vAlign w:val="center"/>
          </w:tcPr>
          <w:p>
            <w:pPr>
              <w:widowControl/>
              <w:adjustRightInd w:val="0"/>
              <w:snapToGrid w:val="0"/>
              <w:jc w:val="left"/>
              <w:rPr>
                <w:highlight w:val="none"/>
              </w:rPr>
            </w:pPr>
            <w:r>
              <w:rPr>
                <w:rFonts w:hint="eastAsia"/>
                <w:highlight w:val="none"/>
              </w:rPr>
              <w:t>【整体服务方案】</w:t>
            </w:r>
          </w:p>
          <w:p>
            <w:pPr>
              <w:pStyle w:val="17"/>
              <w:adjustRightInd w:val="0"/>
              <w:snapToGrid w:val="0"/>
              <w:spacing w:after="0"/>
              <w:rPr>
                <w:highlight w:val="none"/>
              </w:rPr>
            </w:pPr>
            <w:r>
              <w:rPr>
                <w:rFonts w:hint="eastAsia"/>
                <w:highlight w:val="none"/>
              </w:rPr>
              <w:t>对参选人提供的整体服务方案进行评分，从与我司匹配度、实施可行性、创新性和推广有效性等各个方面综合评价。</w:t>
            </w:r>
          </w:p>
          <w:p>
            <w:pPr>
              <w:widowControl/>
              <w:adjustRightInd w:val="0"/>
              <w:snapToGrid w:val="0"/>
              <w:jc w:val="left"/>
              <w:rPr>
                <w:highlight w:val="none"/>
              </w:rPr>
            </w:pPr>
            <w:r>
              <w:rPr>
                <w:rFonts w:hint="eastAsia"/>
                <w:highlight w:val="none"/>
              </w:rPr>
              <w:t>优：20-15分；良：14-9分；差：8-1分，不提供者不得分。</w:t>
            </w:r>
          </w:p>
        </w:tc>
        <w:tc>
          <w:tcPr>
            <w:tcW w:w="877"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cs="宋体"/>
                <w:kern w:val="0"/>
                <w:szCs w:val="21"/>
                <w:highlight w:val="none"/>
              </w:rPr>
            </w:pPr>
          </w:p>
        </w:tc>
      </w:tr>
      <w:tr>
        <w:tblPrEx>
          <w:tblCellMar>
            <w:top w:w="0" w:type="dxa"/>
            <w:left w:w="108" w:type="dxa"/>
            <w:bottom w:w="0" w:type="dxa"/>
            <w:right w:w="108" w:type="dxa"/>
          </w:tblCellMar>
        </w:tblPrEx>
        <w:trPr>
          <w:trHeight w:val="1279" w:hRule="atLeast"/>
          <w:jc w:val="center"/>
        </w:trPr>
        <w:tc>
          <w:tcPr>
            <w:tcW w:w="1647" w:type="dxa"/>
            <w:vMerge w:val="continue"/>
            <w:tcBorders>
              <w:left w:val="single" w:color="auto" w:sz="4" w:space="0"/>
              <w:right w:val="single" w:color="auto" w:sz="4" w:space="0"/>
            </w:tcBorders>
            <w:vAlign w:val="center"/>
          </w:tcPr>
          <w:p>
            <w:pPr>
              <w:adjustRightInd w:val="0"/>
              <w:snapToGrid w:val="0"/>
              <w:jc w:val="center"/>
              <w:rPr>
                <w:rFonts w:hint="eastAsia" w:ascii="宋体" w:hAnsi="宋体" w:cs="宋体"/>
                <w:kern w:val="0"/>
                <w:szCs w:val="21"/>
                <w:highlight w:val="none"/>
              </w:rPr>
            </w:pPr>
          </w:p>
        </w:tc>
        <w:tc>
          <w:tcPr>
            <w:tcW w:w="1380" w:type="dxa"/>
            <w:tcBorders>
              <w:top w:val="nil"/>
              <w:left w:val="single" w:color="auto" w:sz="4" w:space="0"/>
              <w:bottom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cs="宋体"/>
                <w:szCs w:val="21"/>
                <w:highlight w:val="none"/>
              </w:rPr>
              <w:t>10</w:t>
            </w:r>
            <w:r>
              <w:rPr>
                <w:rFonts w:hint="eastAsia" w:ascii="宋体" w:hAnsi="宋体" w:cs="宋体"/>
                <w:kern w:val="0"/>
                <w:szCs w:val="21"/>
                <w:highlight w:val="none"/>
              </w:rPr>
              <w:t>分</w:t>
            </w:r>
          </w:p>
        </w:tc>
        <w:tc>
          <w:tcPr>
            <w:tcW w:w="5590" w:type="dxa"/>
            <w:tcBorders>
              <w:top w:val="nil"/>
              <w:left w:val="nil"/>
              <w:bottom w:val="single" w:color="auto" w:sz="4" w:space="0"/>
              <w:right w:val="single" w:color="auto" w:sz="4" w:space="0"/>
            </w:tcBorders>
            <w:vAlign w:val="center"/>
          </w:tcPr>
          <w:p>
            <w:pPr>
              <w:widowControl/>
              <w:adjustRightInd w:val="0"/>
              <w:snapToGrid w:val="0"/>
              <w:jc w:val="left"/>
              <w:rPr>
                <w:highlight w:val="none"/>
              </w:rPr>
            </w:pPr>
            <w:r>
              <w:rPr>
                <w:rFonts w:hint="eastAsia"/>
                <w:highlight w:val="none"/>
              </w:rPr>
              <w:t>【会员系统功能开发】</w:t>
            </w:r>
          </w:p>
          <w:p>
            <w:pPr>
              <w:adjustRightInd w:val="0"/>
              <w:snapToGrid w:val="0"/>
              <w:rPr>
                <w:rFonts w:hint="eastAsia" w:ascii="宋体" w:hAnsi="宋体"/>
                <w:szCs w:val="21"/>
                <w:highlight w:val="none"/>
              </w:rPr>
            </w:pPr>
            <w:r>
              <w:rPr>
                <w:rFonts w:hint="eastAsia"/>
                <w:highlight w:val="none"/>
              </w:rPr>
              <w:t>针对项目需求提出后端与前端的功能开发</w:t>
            </w:r>
            <w:r>
              <w:rPr>
                <w:rFonts w:hint="eastAsia" w:ascii="宋体" w:hAnsi="宋体"/>
                <w:szCs w:val="21"/>
                <w:highlight w:val="none"/>
              </w:rPr>
              <w:t>等功能的整体思路方案包括应用场景、参考案例、最终页面呈现等。根据内容的完整性、覆盖面和可执行性综合评价。</w:t>
            </w:r>
          </w:p>
          <w:p>
            <w:pPr>
              <w:adjustRightInd w:val="0"/>
              <w:snapToGrid w:val="0"/>
              <w:rPr>
                <w:rFonts w:hint="eastAsia" w:ascii="宋体" w:hAnsi="宋体"/>
                <w:szCs w:val="21"/>
                <w:highlight w:val="none"/>
              </w:rPr>
            </w:pPr>
            <w:r>
              <w:rPr>
                <w:rFonts w:hint="eastAsia" w:ascii="宋体" w:hAnsi="宋体" w:cs="宋体"/>
                <w:kern w:val="0"/>
                <w:szCs w:val="21"/>
                <w:highlight w:val="none"/>
              </w:rPr>
              <w:t>优：10-8分；良：7-5分；差：4-1分，不提供者不得分。</w:t>
            </w:r>
          </w:p>
        </w:tc>
        <w:tc>
          <w:tcPr>
            <w:tcW w:w="877"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cs="宋体"/>
                <w:kern w:val="0"/>
                <w:szCs w:val="21"/>
                <w:highlight w:val="none"/>
              </w:rPr>
            </w:pPr>
          </w:p>
        </w:tc>
      </w:tr>
      <w:tr>
        <w:tblPrEx>
          <w:tblCellMar>
            <w:top w:w="0" w:type="dxa"/>
            <w:left w:w="108" w:type="dxa"/>
            <w:bottom w:w="0" w:type="dxa"/>
            <w:right w:w="108" w:type="dxa"/>
          </w:tblCellMar>
        </w:tblPrEx>
        <w:trPr>
          <w:trHeight w:val="1241" w:hRule="atLeast"/>
          <w:jc w:val="center"/>
        </w:trPr>
        <w:tc>
          <w:tcPr>
            <w:tcW w:w="1647" w:type="dxa"/>
            <w:vMerge w:val="continue"/>
            <w:tcBorders>
              <w:left w:val="single" w:color="auto" w:sz="4" w:space="0"/>
              <w:right w:val="single" w:color="auto" w:sz="4" w:space="0"/>
            </w:tcBorders>
            <w:vAlign w:val="center"/>
          </w:tcPr>
          <w:p>
            <w:pPr>
              <w:adjustRightInd w:val="0"/>
              <w:snapToGrid w:val="0"/>
              <w:jc w:val="center"/>
              <w:rPr>
                <w:rFonts w:hint="eastAsia" w:ascii="宋体" w:hAnsi="宋体" w:cs="宋体"/>
                <w:kern w:val="0"/>
                <w:szCs w:val="21"/>
                <w:highlight w:val="none"/>
              </w:rPr>
            </w:pPr>
          </w:p>
        </w:tc>
        <w:tc>
          <w:tcPr>
            <w:tcW w:w="138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5590" w:type="dxa"/>
            <w:tcBorders>
              <w:top w:val="nil"/>
              <w:left w:val="nil"/>
              <w:bottom w:val="single" w:color="auto" w:sz="4" w:space="0"/>
              <w:right w:val="single" w:color="auto" w:sz="4" w:space="0"/>
            </w:tcBorders>
            <w:vAlign w:val="center"/>
          </w:tcPr>
          <w:p>
            <w:pPr>
              <w:widowControl/>
              <w:adjustRightInd w:val="0"/>
              <w:snapToGrid w:val="0"/>
              <w:jc w:val="left"/>
              <w:rPr>
                <w:highlight w:val="none"/>
              </w:rPr>
            </w:pPr>
            <w:r>
              <w:rPr>
                <w:rFonts w:hint="eastAsia"/>
                <w:highlight w:val="none"/>
              </w:rPr>
              <w:t>【会员整体运营策略】</w:t>
            </w:r>
          </w:p>
          <w:p>
            <w:pPr>
              <w:pStyle w:val="17"/>
              <w:adjustRightInd w:val="0"/>
              <w:snapToGrid w:val="0"/>
              <w:spacing w:after="0"/>
              <w:rPr>
                <w:rFonts w:hint="eastAsia" w:ascii="宋体" w:hAnsi="宋体"/>
                <w:szCs w:val="21"/>
                <w:highlight w:val="none"/>
              </w:rPr>
            </w:pPr>
            <w:r>
              <w:rPr>
                <w:rFonts w:hint="eastAsia" w:ascii="宋体" w:hAnsi="宋体"/>
                <w:szCs w:val="21"/>
                <w:highlight w:val="none"/>
              </w:rPr>
              <w:t>针对项目会员运营需求提出整体完善的运营策略方案，整体推广策略体系完整，符合项目特点；营销推广注重提高项目市场认知度及品牌等横向对比打分。</w:t>
            </w:r>
          </w:p>
          <w:p>
            <w:pPr>
              <w:pStyle w:val="17"/>
              <w:adjustRightInd w:val="0"/>
              <w:snapToGrid w:val="0"/>
              <w:spacing w:after="0"/>
              <w:rPr>
                <w:highlight w:val="none"/>
              </w:rPr>
            </w:pPr>
            <w:r>
              <w:rPr>
                <w:rFonts w:hint="eastAsia" w:ascii="宋体" w:hAnsi="宋体"/>
                <w:szCs w:val="21"/>
                <w:highlight w:val="none"/>
              </w:rPr>
              <w:t>优：10-8分；良：7-5分；差：4-1分，</w:t>
            </w:r>
            <w:r>
              <w:rPr>
                <w:rFonts w:hint="eastAsia" w:ascii="宋体" w:hAnsi="宋体" w:cs="宋体"/>
                <w:kern w:val="0"/>
                <w:szCs w:val="21"/>
                <w:highlight w:val="none"/>
              </w:rPr>
              <w:t>不提供者不得分。</w:t>
            </w:r>
          </w:p>
        </w:tc>
        <w:tc>
          <w:tcPr>
            <w:tcW w:w="877"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cs="宋体"/>
                <w:kern w:val="0"/>
                <w:szCs w:val="21"/>
                <w:highlight w:val="none"/>
              </w:rPr>
            </w:pPr>
          </w:p>
        </w:tc>
      </w:tr>
      <w:tr>
        <w:tblPrEx>
          <w:tblCellMar>
            <w:top w:w="0" w:type="dxa"/>
            <w:left w:w="108" w:type="dxa"/>
            <w:bottom w:w="0" w:type="dxa"/>
            <w:right w:w="108" w:type="dxa"/>
          </w:tblCellMar>
        </w:tblPrEx>
        <w:trPr>
          <w:trHeight w:val="1034" w:hRule="atLeast"/>
          <w:jc w:val="center"/>
        </w:trPr>
        <w:tc>
          <w:tcPr>
            <w:tcW w:w="1647"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cs="宋体"/>
                <w:kern w:val="0"/>
                <w:szCs w:val="21"/>
                <w:highlight w:val="none"/>
              </w:rPr>
            </w:pPr>
          </w:p>
        </w:tc>
        <w:tc>
          <w:tcPr>
            <w:tcW w:w="138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5590" w:type="dxa"/>
            <w:tcBorders>
              <w:top w:val="nil"/>
              <w:left w:val="nil"/>
              <w:bottom w:val="single" w:color="auto" w:sz="4" w:space="0"/>
              <w:right w:val="single" w:color="auto" w:sz="4" w:space="0"/>
            </w:tcBorders>
            <w:vAlign w:val="center"/>
          </w:tcPr>
          <w:p>
            <w:pPr>
              <w:widowControl/>
              <w:adjustRightInd w:val="0"/>
              <w:snapToGrid w:val="0"/>
              <w:jc w:val="left"/>
              <w:rPr>
                <w:highlight w:val="none"/>
              </w:rPr>
            </w:pPr>
            <w:r>
              <w:rPr>
                <w:rFonts w:hint="eastAsia"/>
                <w:highlight w:val="none"/>
              </w:rPr>
              <w:t>【会员活动丰富度】</w:t>
            </w:r>
          </w:p>
          <w:p>
            <w:pPr>
              <w:pStyle w:val="3"/>
              <w:ind w:left="0"/>
              <w:rPr>
                <w:rFonts w:hint="eastAsia" w:ascii="宋体" w:hAnsi="宋体" w:cs="宋体"/>
                <w:szCs w:val="21"/>
                <w:highlight w:val="none"/>
              </w:rPr>
            </w:pPr>
            <w:r>
              <w:rPr>
                <w:rFonts w:hint="eastAsia" w:ascii="宋体" w:hAnsi="宋体" w:cs="宋体"/>
                <w:szCs w:val="21"/>
                <w:highlight w:val="none"/>
              </w:rPr>
              <w:t>针对项目会员组织开展会员活动，包括线上线下的会员活动创意与策划、主题、宣传侧重点、玩法等内容，达到拉新、留存及转化的目的。根据活动形式的创新型，活动的丰富度等方面综合评价。</w:t>
            </w:r>
          </w:p>
          <w:p>
            <w:pPr>
              <w:pStyle w:val="3"/>
              <w:ind w:left="0"/>
              <w:rPr>
                <w:highlight w:val="none"/>
              </w:rPr>
            </w:pPr>
            <w:r>
              <w:rPr>
                <w:rFonts w:hint="eastAsia" w:ascii="宋体" w:hAnsi="宋体" w:cs="宋体"/>
                <w:kern w:val="0"/>
                <w:szCs w:val="21"/>
                <w:highlight w:val="none"/>
              </w:rPr>
              <w:t>优：10-8分；良：7-5分；差：4-1分，不提供者不得分。</w:t>
            </w:r>
          </w:p>
        </w:tc>
        <w:tc>
          <w:tcPr>
            <w:tcW w:w="877"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cs="宋体"/>
                <w:kern w:val="0"/>
                <w:szCs w:val="21"/>
                <w:highlight w:val="none"/>
              </w:rPr>
            </w:pPr>
          </w:p>
        </w:tc>
      </w:tr>
      <w:tr>
        <w:tblPrEx>
          <w:tblCellMar>
            <w:top w:w="0" w:type="dxa"/>
            <w:left w:w="108" w:type="dxa"/>
            <w:bottom w:w="0" w:type="dxa"/>
            <w:right w:w="108" w:type="dxa"/>
          </w:tblCellMar>
        </w:tblPrEx>
        <w:trPr>
          <w:trHeight w:val="3016" w:hRule="atLeast"/>
          <w:jc w:val="center"/>
        </w:trPr>
        <w:tc>
          <w:tcPr>
            <w:tcW w:w="164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kern w:val="0"/>
                <w:szCs w:val="21"/>
                <w:highlight w:val="none"/>
              </w:rPr>
              <w:t>报价情况</w:t>
            </w:r>
          </w:p>
        </w:tc>
        <w:tc>
          <w:tcPr>
            <w:tcW w:w="13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kern w:val="0"/>
                <w:szCs w:val="21"/>
                <w:highlight w:val="none"/>
              </w:rPr>
              <w:t>40分</w:t>
            </w:r>
          </w:p>
        </w:tc>
        <w:tc>
          <w:tcPr>
            <w:tcW w:w="5590" w:type="dxa"/>
            <w:tcBorders>
              <w:top w:val="nil"/>
              <w:left w:val="nil"/>
              <w:bottom w:val="single" w:color="auto" w:sz="4" w:space="0"/>
              <w:right w:val="single" w:color="auto" w:sz="4" w:space="0"/>
            </w:tcBorders>
            <w:vAlign w:val="center"/>
          </w:tcPr>
          <w:p>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当通过竞投文件资格及符合性审查的竞投人≥5家时，去掉一个最高价和一个最低价后，剩余竞投报价的算术平均值为评审基准价（PC）；当通过竞投文件资格及符合性审查的竞投人&lt;5家时，竞投报价的算术平均值为评审基准价（PC）。</w:t>
            </w:r>
          </w:p>
          <w:p>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当有效投标价（PT）等于评标基准价（PC）时，有效投标价得分I=40分；有效投标价（PT）比评标基准价（PC）上偏差1%减1分，下偏差1%减0.5分，最多减至0分止。</w:t>
            </w:r>
          </w:p>
          <w:p>
            <w:pPr>
              <w:widowControl/>
              <w:jc w:val="left"/>
              <w:rPr>
                <w:rFonts w:hint="eastAsia" w:ascii="宋体" w:hAnsi="宋体" w:cs="宋体"/>
                <w:color w:val="000000"/>
                <w:kern w:val="0"/>
                <w:szCs w:val="21"/>
                <w:highlight w:val="none"/>
              </w:rPr>
            </w:pPr>
            <w:r>
              <w:rPr>
                <w:rFonts w:hint="eastAsia" w:ascii="宋体" w:hAnsi="宋体" w:cs="宋体"/>
                <w:kern w:val="0"/>
                <w:szCs w:val="21"/>
                <w:highlight w:val="none"/>
              </w:rPr>
              <w:t>计算公式为：报价得分=40-n×100*|PT-PC|/PC，当PT≥PC时，n=1；当PT＜PC时，n=0.5，得出报价得分，精确到小数点后两位</w:t>
            </w:r>
          </w:p>
        </w:tc>
        <w:tc>
          <w:tcPr>
            <w:tcW w:w="87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r>
      <w:tr>
        <w:tblPrEx>
          <w:tblCellMar>
            <w:top w:w="0" w:type="dxa"/>
            <w:left w:w="108" w:type="dxa"/>
            <w:bottom w:w="0" w:type="dxa"/>
            <w:right w:w="108" w:type="dxa"/>
          </w:tblCellMar>
        </w:tblPrEx>
        <w:trPr>
          <w:trHeight w:val="662" w:hRule="atLeast"/>
          <w:jc w:val="center"/>
        </w:trPr>
        <w:tc>
          <w:tcPr>
            <w:tcW w:w="8617" w:type="dxa"/>
            <w:gridSpan w:val="3"/>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合计：100分</w:t>
            </w:r>
          </w:p>
        </w:tc>
        <w:tc>
          <w:tcPr>
            <w:tcW w:w="87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r>
      <w:bookmarkEnd w:id="25"/>
      <w:bookmarkEnd w:id="26"/>
    </w:tbl>
    <w:p>
      <w:pPr>
        <w:pStyle w:val="17"/>
        <w:rPr>
          <w:b/>
          <w:bCs/>
          <w:sz w:val="28"/>
          <w:szCs w:val="28"/>
          <w:highlight w:val="none"/>
        </w:rPr>
      </w:pPr>
    </w:p>
    <w:p>
      <w:pPr>
        <w:pStyle w:val="17"/>
        <w:ind w:right="462" w:rightChars="220"/>
        <w:rPr>
          <w:b/>
          <w:bCs/>
          <w:sz w:val="28"/>
          <w:szCs w:val="28"/>
          <w:highlight w:val="none"/>
        </w:rPr>
      </w:pPr>
    </w:p>
    <w:p>
      <w:pPr>
        <w:pStyle w:val="17"/>
        <w:ind w:left="462" w:leftChars="220" w:right="462" w:rightChars="220" w:firstLine="562" w:firstLineChars="200"/>
        <w:jc w:val="center"/>
        <w:rPr>
          <w:b/>
          <w:bCs/>
          <w:sz w:val="28"/>
          <w:szCs w:val="2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bookmarkStart w:id="27" w:name="_Hlk159834778"/>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center"/>
        <w:rPr>
          <w:rFonts w:hint="eastAsia" w:ascii="仿宋" w:hAnsi="仿宋" w:eastAsia="仿宋" w:cs="仿宋"/>
          <w:b/>
          <w:bCs/>
          <w:spacing w:val="20"/>
          <w:sz w:val="48"/>
          <w:szCs w:val="48"/>
          <w:highlight w:val="none"/>
        </w:rPr>
      </w:pPr>
    </w:p>
    <w:p>
      <w:pPr>
        <w:spacing w:line="240" w:lineRule="atLeast"/>
        <w:ind w:leftChars="-199" w:right="-512" w:hanging="418" w:hangingChars="80"/>
        <w:jc w:val="both"/>
        <w:rPr>
          <w:rFonts w:hint="eastAsia" w:ascii="仿宋" w:hAnsi="仿宋" w:eastAsia="仿宋" w:cs="仿宋"/>
          <w:szCs w:val="21"/>
          <w:highlight w:val="none"/>
        </w:rPr>
      </w:pPr>
      <w:r>
        <w:rPr>
          <w:rFonts w:hint="eastAsia" w:ascii="仿宋" w:hAnsi="仿宋" w:eastAsia="仿宋" w:cs="仿宋"/>
          <w:b/>
          <w:bCs/>
          <w:spacing w:val="20"/>
          <w:sz w:val="48"/>
          <w:szCs w:val="48"/>
          <w:highlight w:val="none"/>
        </w:rPr>
        <w:t>********************************</w:t>
      </w:r>
    </w:p>
    <w:p>
      <w:pPr>
        <w:spacing w:line="240" w:lineRule="atLeast"/>
        <w:ind w:right="44" w:rightChars="21"/>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城享慧2026年度会员系统建设&amp;运营服务综合项目</w:t>
      </w:r>
      <w:bookmarkStart w:id="28" w:name="_Hlk162364415"/>
      <w:r>
        <w:rPr>
          <w:rFonts w:hint="eastAsia" w:ascii="仿宋" w:hAnsi="仿宋" w:eastAsia="仿宋" w:cs="仿宋"/>
          <w:b/>
          <w:bCs/>
          <w:sz w:val="52"/>
          <w:szCs w:val="52"/>
          <w:highlight w:val="none"/>
        </w:rPr>
        <w:t>服务</w:t>
      </w:r>
      <w:bookmarkEnd w:id="28"/>
      <w:r>
        <w:rPr>
          <w:rFonts w:hint="eastAsia" w:ascii="仿宋" w:hAnsi="仿宋" w:eastAsia="仿宋" w:cs="仿宋"/>
          <w:b/>
          <w:bCs/>
          <w:sz w:val="52"/>
          <w:szCs w:val="52"/>
          <w:highlight w:val="none"/>
        </w:rPr>
        <w:t>合同</w:t>
      </w:r>
    </w:p>
    <w:p>
      <w:pPr>
        <w:spacing w:line="240" w:lineRule="atLeast"/>
        <w:ind w:leftChars="-199" w:right="-512" w:hanging="418" w:hangingChars="80"/>
        <w:jc w:val="center"/>
        <w:rPr>
          <w:rFonts w:hint="eastAsia" w:ascii="仿宋" w:hAnsi="仿宋" w:eastAsia="仿宋" w:cs="仿宋"/>
          <w:szCs w:val="21"/>
          <w:highlight w:val="none"/>
        </w:rPr>
      </w:pPr>
      <w:r>
        <w:rPr>
          <w:rFonts w:hint="eastAsia" w:ascii="仿宋" w:hAnsi="仿宋" w:eastAsia="仿宋" w:cs="仿宋"/>
          <w:b/>
          <w:bCs/>
          <w:spacing w:val="20"/>
          <w:sz w:val="48"/>
          <w:szCs w:val="48"/>
          <w:highlight w:val="none"/>
        </w:rPr>
        <w:t>********************************</w:t>
      </w:r>
    </w:p>
    <w:p>
      <w:pPr>
        <w:spacing w:line="240" w:lineRule="atLeast"/>
        <w:ind w:right="44" w:rightChars="21"/>
        <w:jc w:val="center"/>
        <w:rPr>
          <w:rFonts w:hint="eastAsia" w:ascii="仿宋" w:hAnsi="仿宋" w:eastAsia="仿宋" w:cs="仿宋"/>
          <w:b/>
          <w:bCs/>
          <w:sz w:val="52"/>
          <w:szCs w:val="52"/>
          <w:highlight w:val="none"/>
        </w:rPr>
      </w:pPr>
    </w:p>
    <w:p>
      <w:pPr>
        <w:spacing w:line="240" w:lineRule="atLeast"/>
        <w:ind w:firstLine="1494" w:firstLineChars="496"/>
        <w:rPr>
          <w:rFonts w:hint="eastAsia" w:ascii="仿宋" w:hAnsi="仿宋" w:eastAsia="仿宋" w:cs="仿宋"/>
          <w:b/>
          <w:bCs/>
          <w:sz w:val="28"/>
          <w:szCs w:val="28"/>
          <w:highlight w:val="none"/>
        </w:rPr>
      </w:pPr>
      <w:r>
        <w:rPr>
          <w:rFonts w:hint="eastAsia" w:ascii="仿宋" w:hAnsi="仿宋" w:eastAsia="仿宋" w:cs="仿宋"/>
          <w:b/>
          <w:sz w:val="30"/>
          <w:szCs w:val="30"/>
          <w:highlight w:val="none"/>
        </w:rPr>
        <w:t>甲方</w:t>
      </w:r>
      <w:r>
        <w:rPr>
          <w:rFonts w:hint="eastAsia" w:ascii="仿宋" w:hAnsi="仿宋" w:eastAsia="仿宋" w:cs="仿宋"/>
          <w:b/>
          <w:bCs/>
          <w:sz w:val="28"/>
          <w:szCs w:val="28"/>
          <w:highlight w:val="none"/>
        </w:rPr>
        <w:t>合同编号：</w:t>
      </w:r>
    </w:p>
    <w:p>
      <w:pPr>
        <w:spacing w:line="240" w:lineRule="atLeast"/>
        <w:jc w:val="center"/>
        <w:rPr>
          <w:rFonts w:hint="eastAsia" w:ascii="仿宋" w:hAnsi="仿宋" w:eastAsia="仿宋" w:cs="仿宋"/>
          <w:b/>
          <w:bCs/>
          <w:szCs w:val="21"/>
          <w:highlight w:val="none"/>
        </w:rPr>
      </w:pPr>
      <w:r>
        <w:rPr>
          <w:rFonts w:hint="eastAsia" w:ascii="仿宋" w:hAnsi="仿宋" w:eastAsia="仿宋" w:cs="仿宋"/>
          <w:b/>
          <w:bCs/>
          <w:sz w:val="28"/>
          <w:szCs w:val="28"/>
          <w:highlight w:val="none"/>
        </w:rPr>
        <w:t xml:space="preserve"> </w:t>
      </w:r>
    </w:p>
    <w:p>
      <w:pPr>
        <w:tabs>
          <w:tab w:val="left" w:pos="8100"/>
        </w:tabs>
        <w:adjustRightInd w:val="0"/>
        <w:snapToGrid w:val="0"/>
        <w:spacing w:line="240" w:lineRule="atLeast"/>
        <w:ind w:firstLine="1506" w:firstLineChars="500"/>
        <w:rPr>
          <w:rFonts w:hint="eastAsia" w:ascii="仿宋" w:hAnsi="仿宋" w:eastAsia="仿宋" w:cs="仿宋"/>
          <w:spacing w:val="20"/>
          <w:sz w:val="32"/>
          <w:szCs w:val="32"/>
          <w:highlight w:val="none"/>
        </w:rPr>
      </w:pPr>
      <w:r>
        <w:rPr>
          <w:rFonts w:hint="eastAsia" w:ascii="仿宋" w:hAnsi="仿宋" w:eastAsia="仿宋" w:cs="仿宋"/>
          <w:b/>
          <w:sz w:val="30"/>
          <w:szCs w:val="30"/>
          <w:highlight w:val="none"/>
        </w:rPr>
        <w:t>乙方</w:t>
      </w:r>
      <w:r>
        <w:rPr>
          <w:rFonts w:hint="eastAsia" w:ascii="仿宋" w:hAnsi="仿宋" w:eastAsia="仿宋" w:cs="仿宋"/>
          <w:b/>
          <w:bCs/>
          <w:sz w:val="28"/>
          <w:szCs w:val="28"/>
          <w:highlight w:val="none"/>
        </w:rPr>
        <w:t>合同编号：</w:t>
      </w:r>
    </w:p>
    <w:p>
      <w:pPr>
        <w:spacing w:line="240" w:lineRule="atLeast"/>
        <w:jc w:val="center"/>
        <w:rPr>
          <w:rFonts w:hint="eastAsia" w:ascii="仿宋" w:hAnsi="仿宋" w:eastAsia="仿宋" w:cs="仿宋"/>
          <w:b/>
          <w:sz w:val="28"/>
          <w:highlight w:val="none"/>
        </w:rPr>
      </w:pPr>
    </w:p>
    <w:p>
      <w:pPr>
        <w:spacing w:line="240" w:lineRule="atLeast"/>
        <w:jc w:val="center"/>
        <w:rPr>
          <w:rFonts w:hint="eastAsia" w:ascii="仿宋" w:hAnsi="仿宋" w:eastAsia="仿宋" w:cs="仿宋"/>
          <w:b/>
          <w:sz w:val="28"/>
          <w:highlight w:val="none"/>
        </w:rPr>
      </w:pPr>
    </w:p>
    <w:p>
      <w:pPr>
        <w:spacing w:line="240" w:lineRule="atLeast"/>
        <w:jc w:val="center"/>
        <w:rPr>
          <w:rFonts w:hint="eastAsia" w:ascii="仿宋" w:hAnsi="仿宋" w:eastAsia="仿宋" w:cs="仿宋"/>
          <w:b/>
          <w:sz w:val="28"/>
          <w:highlight w:val="none"/>
        </w:rPr>
      </w:pPr>
    </w:p>
    <w:p>
      <w:pPr>
        <w:spacing w:line="240" w:lineRule="atLeast"/>
        <w:jc w:val="center"/>
        <w:rPr>
          <w:rFonts w:hint="eastAsia" w:ascii="仿宋" w:hAnsi="仿宋" w:eastAsia="仿宋" w:cs="仿宋"/>
          <w:b/>
          <w:sz w:val="28"/>
          <w:highlight w:val="none"/>
        </w:rPr>
      </w:pPr>
    </w:p>
    <w:p>
      <w:pPr>
        <w:spacing w:line="400" w:lineRule="exact"/>
        <w:ind w:right="420" w:rightChars="200"/>
        <w:jc w:val="center"/>
        <w:rPr>
          <w:rFonts w:hint="eastAsia" w:ascii="仿宋" w:hAnsi="仿宋" w:eastAsia="仿宋" w:cs="仿宋"/>
          <w:b/>
          <w:sz w:val="30"/>
          <w:szCs w:val="30"/>
          <w:highlight w:val="none"/>
        </w:rPr>
      </w:pPr>
    </w:p>
    <w:p>
      <w:pPr>
        <w:spacing w:line="400" w:lineRule="exact"/>
        <w:ind w:right="420" w:rightChars="200"/>
        <w:jc w:val="center"/>
        <w:rPr>
          <w:rFonts w:hint="eastAsia" w:ascii="仿宋" w:hAnsi="仿宋" w:eastAsia="仿宋" w:cs="仿宋"/>
          <w:b/>
          <w:spacing w:val="60"/>
          <w:sz w:val="30"/>
          <w:szCs w:val="30"/>
          <w:highlight w:val="none"/>
        </w:rPr>
      </w:pPr>
      <w:r>
        <w:rPr>
          <w:rFonts w:hint="eastAsia" w:ascii="仿宋" w:hAnsi="仿宋" w:eastAsia="仿宋" w:cs="仿宋"/>
          <w:b/>
          <w:sz w:val="30"/>
          <w:szCs w:val="30"/>
          <w:highlight w:val="none"/>
        </w:rPr>
        <w:t xml:space="preserve">签订时间：2026年 </w:t>
      </w:r>
      <w:r>
        <w:rPr>
          <w:rFonts w:hint="eastAsia" w:ascii="仿宋" w:hAnsi="仿宋" w:eastAsia="仿宋" w:cs="仿宋"/>
          <w:b/>
          <w:spacing w:val="60"/>
          <w:sz w:val="30"/>
          <w:szCs w:val="30"/>
          <w:highlight w:val="none"/>
        </w:rPr>
        <w:t xml:space="preserve">月 日  </w:t>
      </w:r>
    </w:p>
    <w:p>
      <w:pPr>
        <w:spacing w:line="400" w:lineRule="exact"/>
        <w:ind w:right="420" w:rightChars="200"/>
        <w:jc w:val="center"/>
        <w:rPr>
          <w:rFonts w:hint="eastAsia" w:ascii="仿宋" w:hAnsi="仿宋" w:eastAsia="仿宋" w:cs="仿宋"/>
          <w:b/>
          <w:spacing w:val="60"/>
          <w:sz w:val="30"/>
          <w:szCs w:val="30"/>
          <w:highlight w:val="none"/>
        </w:rPr>
      </w:pPr>
    </w:p>
    <w:p>
      <w:pPr>
        <w:spacing w:line="400" w:lineRule="exact"/>
        <w:ind w:right="420" w:rightChars="200"/>
        <w:jc w:val="center"/>
        <w:rPr>
          <w:rFonts w:hint="eastAsia" w:ascii="仿宋" w:hAnsi="仿宋" w:eastAsia="仿宋" w:cs="仿宋"/>
          <w:b/>
          <w:spacing w:val="60"/>
          <w:sz w:val="30"/>
          <w:szCs w:val="30"/>
          <w:highlight w:val="none"/>
        </w:rPr>
      </w:pPr>
    </w:p>
    <w:p>
      <w:pPr>
        <w:spacing w:line="400" w:lineRule="exact"/>
        <w:ind w:right="420" w:rightChars="200"/>
        <w:jc w:val="center"/>
        <w:rPr>
          <w:rFonts w:hint="eastAsia" w:ascii="仿宋" w:hAnsi="仿宋" w:eastAsia="仿宋" w:cs="仿宋"/>
          <w:b/>
          <w:spacing w:val="60"/>
          <w:sz w:val="30"/>
          <w:szCs w:val="30"/>
          <w:highlight w:val="none"/>
        </w:rPr>
      </w:pP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spacing w:val="60"/>
          <w:sz w:val="30"/>
          <w:szCs w:val="30"/>
          <w:highlight w:val="none"/>
        </w:rPr>
        <w:br w:type="page"/>
      </w:r>
      <w:r>
        <w:rPr>
          <w:rFonts w:hint="eastAsia" w:ascii="仿宋" w:hAnsi="仿宋" w:eastAsia="仿宋" w:cs="仿宋"/>
          <w:b/>
          <w:bCs/>
          <w:sz w:val="24"/>
          <w:highlight w:val="none"/>
        </w:rPr>
        <w:t>甲方1：</w:t>
      </w:r>
      <w:r>
        <w:rPr>
          <w:rFonts w:hint="eastAsia" w:ascii="仿宋" w:hAnsi="仿宋" w:eastAsia="仿宋" w:cs="仿宋"/>
          <w:sz w:val="24"/>
          <w:highlight w:val="none"/>
        </w:rPr>
        <w:t>广州市城投资产经营管理有限公司</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地址：</w:t>
      </w:r>
      <w:r>
        <w:rPr>
          <w:rFonts w:hint="eastAsia" w:ascii="仿宋" w:hAnsi="仿宋" w:eastAsia="仿宋" w:cs="仿宋"/>
          <w:sz w:val="24"/>
          <w:highlight w:val="none"/>
        </w:rPr>
        <w:t>广州市天河区临江大道海心沙西区看台</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法定代表人：</w:t>
      </w:r>
      <w:r>
        <w:rPr>
          <w:rFonts w:hint="eastAsia" w:ascii="仿宋" w:hAnsi="仿宋" w:eastAsia="仿宋" w:cs="仿宋"/>
          <w:sz w:val="24"/>
          <w:highlight w:val="none"/>
        </w:rPr>
        <w:t>黄伟俊</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br w:type="textWrapping"/>
      </w:r>
      <w:r>
        <w:rPr>
          <w:rFonts w:hint="eastAsia" w:ascii="仿宋" w:hAnsi="仿宋" w:eastAsia="仿宋" w:cs="仿宋"/>
          <w:b/>
          <w:bCs/>
          <w:sz w:val="24"/>
          <w:highlight w:val="none"/>
        </w:rPr>
        <w:t>甲方2：</w:t>
      </w:r>
      <w:r>
        <w:rPr>
          <w:rFonts w:hint="eastAsia" w:ascii="仿宋" w:hAnsi="仿宋" w:eastAsia="仿宋" w:cs="仿宋"/>
          <w:sz w:val="24"/>
          <w:highlight w:val="none"/>
        </w:rPr>
        <w:t>广州市城投资产经营管理有限公司珠江新城分公司</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地址：</w:t>
      </w:r>
      <w:r>
        <w:rPr>
          <w:rFonts w:hint="eastAsia" w:ascii="仿宋" w:hAnsi="仿宋" w:eastAsia="仿宋" w:cs="仿宋"/>
          <w:sz w:val="24"/>
          <w:highlight w:val="none"/>
        </w:rPr>
        <w:t>广州市天河区临江大道海心沙西区看台</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法定代表人：</w:t>
      </w:r>
      <w:r>
        <w:rPr>
          <w:rFonts w:hint="eastAsia" w:ascii="仿宋" w:hAnsi="仿宋" w:eastAsia="仿宋" w:cs="仿宋"/>
          <w:sz w:val="24"/>
          <w:highlight w:val="none"/>
        </w:rPr>
        <w:t>黎达年</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br w:type="textWrapping"/>
      </w:r>
      <w:r>
        <w:rPr>
          <w:rFonts w:hint="eastAsia" w:ascii="仿宋" w:hAnsi="仿宋" w:eastAsia="仿宋" w:cs="仿宋"/>
          <w:b/>
          <w:bCs/>
          <w:sz w:val="24"/>
          <w:highlight w:val="none"/>
        </w:rPr>
        <w:t>甲方3：</w:t>
      </w:r>
      <w:r>
        <w:rPr>
          <w:rFonts w:hint="eastAsia" w:ascii="仿宋" w:hAnsi="仿宋" w:eastAsia="仿宋" w:cs="仿宋"/>
          <w:sz w:val="24"/>
          <w:highlight w:val="none"/>
        </w:rPr>
        <w:t>广州市城投资产经营管理有限公司流花分公司；</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地址：</w:t>
      </w:r>
      <w:r>
        <w:rPr>
          <w:rFonts w:hint="eastAsia" w:ascii="仿宋" w:hAnsi="仿宋" w:eastAsia="仿宋" w:cs="仿宋"/>
          <w:sz w:val="24"/>
          <w:highlight w:val="none"/>
        </w:rPr>
        <w:t>广州市越秀区流花路117号内自编5号</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法定代表人：</w:t>
      </w:r>
      <w:r>
        <w:rPr>
          <w:rFonts w:hint="eastAsia" w:ascii="仿宋" w:hAnsi="仿宋" w:eastAsia="仿宋" w:cs="仿宋"/>
          <w:sz w:val="24"/>
          <w:highlight w:val="none"/>
        </w:rPr>
        <w:t>林海</w:t>
      </w:r>
    </w:p>
    <w:p>
      <w:pPr>
        <w:spacing w:line="400" w:lineRule="exact"/>
        <w:ind w:left="420" w:leftChars="200" w:right="420" w:rightChars="200"/>
        <w:rPr>
          <w:rFonts w:hint="eastAsia" w:ascii="仿宋" w:hAnsi="仿宋" w:eastAsia="仿宋" w:cs="仿宋"/>
          <w:b/>
          <w:bCs/>
          <w:sz w:val="24"/>
          <w:highlight w:val="none"/>
        </w:rPr>
      </w:pPr>
    </w:p>
    <w:p>
      <w:pPr>
        <w:spacing w:line="400" w:lineRule="exact"/>
        <w:ind w:left="420" w:leftChars="200" w:right="420" w:rightChars="200"/>
        <w:rPr>
          <w:rFonts w:hint="eastAsia" w:ascii="仿宋" w:hAnsi="仿宋" w:eastAsia="仿宋" w:cs="仿宋"/>
          <w:sz w:val="24"/>
          <w:highlight w:val="none"/>
        </w:rPr>
      </w:pPr>
      <w:r>
        <w:rPr>
          <w:rFonts w:hint="eastAsia" w:ascii="仿宋" w:hAnsi="仿宋" w:eastAsia="仿宋" w:cs="仿宋"/>
          <w:b/>
          <w:bCs/>
          <w:sz w:val="24"/>
          <w:highlight w:val="none"/>
        </w:rPr>
        <w:t>甲方4：</w:t>
      </w:r>
      <w:r>
        <w:rPr>
          <w:rFonts w:hint="eastAsia" w:ascii="仿宋" w:hAnsi="仿宋" w:eastAsia="仿宋" w:cs="仿宋"/>
          <w:sz w:val="24"/>
          <w:highlight w:val="none"/>
        </w:rPr>
        <w:t>广州市城投资产经营管理有限公司花果山分公司</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地址：</w:t>
      </w:r>
      <w:r>
        <w:rPr>
          <w:rFonts w:hint="eastAsia" w:ascii="仿宋" w:hAnsi="仿宋" w:eastAsia="仿宋" w:cs="仿宋"/>
          <w:sz w:val="24"/>
          <w:highlight w:val="none"/>
        </w:rPr>
        <w:t>广州市越秀区环市中路233号1栋116室</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法定代表人：</w:t>
      </w:r>
      <w:r>
        <w:rPr>
          <w:rFonts w:hint="eastAsia" w:ascii="仿宋" w:hAnsi="仿宋" w:eastAsia="仿宋" w:cs="仿宋"/>
          <w:sz w:val="24"/>
          <w:highlight w:val="none"/>
        </w:rPr>
        <w:t>李想</w:t>
      </w:r>
    </w:p>
    <w:p>
      <w:pPr>
        <w:spacing w:line="400" w:lineRule="exact"/>
        <w:ind w:right="420" w:rightChars="200" w:firstLine="0" w:firstLineChars="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 xml:space="preserve">    </w:t>
      </w:r>
      <w:r>
        <w:rPr>
          <w:rFonts w:hint="eastAsia" w:ascii="仿宋" w:hAnsi="仿宋" w:eastAsia="仿宋" w:cs="仿宋"/>
          <w:b/>
          <w:bCs/>
          <w:sz w:val="24"/>
          <w:highlight w:val="none"/>
        </w:rPr>
        <w:t>以上甲方1、甲方2、甲方3、甲方4统称为甲方。</w:t>
      </w:r>
    </w:p>
    <w:p>
      <w:pPr>
        <w:spacing w:line="400" w:lineRule="exact"/>
        <w:ind w:left="420" w:leftChars="200" w:right="420" w:rightChars="200"/>
        <w:rPr>
          <w:rFonts w:hint="eastAsia" w:ascii="仿宋" w:hAnsi="仿宋" w:eastAsia="仿宋" w:cs="仿宋"/>
          <w:b/>
          <w:bCs/>
          <w:sz w:val="24"/>
          <w:highlight w:val="none"/>
        </w:rPr>
      </w:pPr>
    </w:p>
    <w:p>
      <w:pPr>
        <w:spacing w:line="400" w:lineRule="exact"/>
        <w:ind w:left="420" w:leftChars="200" w:right="420" w:rightChars="200"/>
        <w:rPr>
          <w:rFonts w:hint="eastAsia" w:ascii="仿宋" w:hAnsi="仿宋" w:eastAsia="仿宋" w:cs="仿宋"/>
          <w:b/>
          <w:bCs/>
          <w:sz w:val="24"/>
          <w:highlight w:val="none"/>
        </w:rPr>
      </w:pP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乙方：</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地址：</w:t>
      </w:r>
    </w:p>
    <w:p>
      <w:pPr>
        <w:spacing w:line="400" w:lineRule="exact"/>
        <w:ind w:left="420" w:leftChars="200" w:right="420" w:rightChars="200"/>
        <w:rPr>
          <w:rFonts w:hint="eastAsia" w:ascii="仿宋" w:hAnsi="仿宋" w:eastAsia="仿宋" w:cs="仿宋"/>
          <w:b/>
          <w:bCs/>
          <w:sz w:val="24"/>
          <w:highlight w:val="none"/>
        </w:rPr>
      </w:pPr>
      <w:r>
        <w:rPr>
          <w:rFonts w:hint="eastAsia" w:ascii="仿宋" w:hAnsi="仿宋" w:eastAsia="仿宋" w:cs="仿宋"/>
          <w:b/>
          <w:bCs/>
          <w:sz w:val="24"/>
          <w:highlight w:val="none"/>
        </w:rPr>
        <w:t>法定代表人：</w:t>
      </w:r>
    </w:p>
    <w:p>
      <w:pPr>
        <w:pStyle w:val="15"/>
        <w:rPr>
          <w:rFonts w:hint="eastAsia" w:ascii="仿宋" w:hAnsi="仿宋" w:eastAsia="仿宋" w:cs="仿宋"/>
          <w:highlight w:val="none"/>
        </w:rPr>
      </w:pPr>
    </w:p>
    <w:p>
      <w:pPr>
        <w:snapToGrid w:val="0"/>
        <w:spacing w:before="156" w:beforeLines="50" w:after="156" w:afterLines="50" w:line="360" w:lineRule="auto"/>
        <w:ind w:firstLine="420"/>
        <w:rPr>
          <w:rFonts w:hint="eastAsia" w:ascii="仿宋" w:hAnsi="仿宋" w:eastAsia="仿宋" w:cs="仿宋"/>
          <w:bCs/>
          <w:sz w:val="24"/>
          <w:highlight w:val="none"/>
        </w:rPr>
      </w:pPr>
      <w:r>
        <w:rPr>
          <w:rFonts w:hint="eastAsia" w:ascii="仿宋" w:hAnsi="仿宋" w:eastAsia="仿宋" w:cs="仿宋"/>
          <w:sz w:val="24"/>
          <w:highlight w:val="none"/>
        </w:rPr>
        <w:t xml:space="preserve">甲、乙双方本着平等合作、互惠互利的原则，经友好协商，根据《中华人民共和国民法典》《中华人民共和国广告法》等有关法律法规的规定，就甲方委托乙方为城享慧2026年度会员系统建设&amp;运营服务综合项目（以下简称“会员项目”）提供会员平台建设及日常运营管理等服务，经平等协商，达成协议如下： </w:t>
      </w: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第一条 总则</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甲方授权乙方作为甲方</w:t>
      </w:r>
      <w:r>
        <w:rPr>
          <w:rFonts w:hint="eastAsia" w:ascii="仿宋" w:hAnsi="仿宋" w:eastAsia="仿宋" w:cs="仿宋"/>
          <w:sz w:val="24"/>
          <w:highlight w:val="none"/>
          <w:u w:val="single"/>
        </w:rPr>
        <w:t>2026年“城享慧”会员系统建设及运营</w:t>
      </w:r>
      <w:r>
        <w:rPr>
          <w:rFonts w:hint="eastAsia" w:ascii="仿宋" w:hAnsi="仿宋" w:eastAsia="仿宋" w:cs="仿宋"/>
          <w:sz w:val="24"/>
          <w:highlight w:val="none"/>
        </w:rPr>
        <w:t>的服务公司，运营期限为自合同签订日起至</w:t>
      </w:r>
      <w:r>
        <w:rPr>
          <w:rFonts w:hint="eastAsia" w:ascii="仿宋" w:hAnsi="仿宋" w:eastAsia="仿宋" w:cs="仿宋"/>
          <w:sz w:val="24"/>
          <w:highlight w:val="none"/>
          <w:u w:val="single"/>
        </w:rPr>
        <w:t>2026年12月31日</w:t>
      </w:r>
      <w:r>
        <w:rPr>
          <w:rFonts w:hint="eastAsia" w:ascii="仿宋" w:hAnsi="仿宋" w:eastAsia="仿宋" w:cs="仿宋"/>
          <w:sz w:val="24"/>
          <w:highlight w:val="none"/>
        </w:rPr>
        <w:t>，乙方受托负责甲方会员平台的建设及日常运营等相关工作。乙方根据甲方的要求，全面配合甲方行动，并符合甲方的整体市场政策、策略，乙方接受委托并保证将遵照本合同中各项条款执行此委托。</w:t>
      </w:r>
    </w:p>
    <w:p>
      <w:pPr>
        <w:snapToGrid w:val="0"/>
        <w:spacing w:before="156" w:beforeLines="50" w:after="156" w:afterLines="50"/>
        <w:rPr>
          <w:rFonts w:hint="eastAsia" w:ascii="仿宋" w:hAnsi="仿宋" w:eastAsia="仿宋" w:cs="仿宋"/>
          <w:sz w:val="24"/>
          <w:highlight w:val="none"/>
        </w:rPr>
      </w:pP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第二条 推广目标</w:t>
      </w:r>
    </w:p>
    <w:p>
      <w:pPr>
        <w:snapToGrid w:val="0"/>
        <w:spacing w:before="156" w:beforeLines="50" w:after="156" w:afterLines="50"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乙方通过向甲方提供</w:t>
      </w:r>
      <w:r>
        <w:rPr>
          <w:rFonts w:hint="eastAsia" w:ascii="仿宋" w:hAnsi="仿宋" w:eastAsia="仿宋" w:cs="仿宋"/>
          <w:sz w:val="24"/>
          <w:highlight w:val="none"/>
          <w:u w:val="single"/>
        </w:rPr>
        <w:t>“城享慧”会员系统建设及运营</w:t>
      </w:r>
      <w:r>
        <w:rPr>
          <w:rFonts w:hint="eastAsia" w:ascii="仿宋" w:hAnsi="仿宋" w:eastAsia="仿宋" w:cs="仿宋"/>
          <w:sz w:val="24"/>
          <w:highlight w:val="none"/>
        </w:rPr>
        <w:t>服务，帮助甲方实现以下目标：会员系统的建设与优化、会员运营工作的精细化提升。协助甲方维护同会员的良好沟通。</w:t>
      </w: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第三条 乙方服务项目</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3.1会员系统建设（详细清单可见附件1）</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(1)后端功能：会员注册&amp;登录、会员积分&amp;优惠券、会员信息&amp;手册等。</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(2)前端页面：前端需求调研、前端页面设计、前端页面开发。</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(3)接口对接：注册接口对接、积分接口对接、优惠券接口对接等。</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(4)系统升级：系统升级覆盖子项目。</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(5)管理后台：会员管理、优惠券管理、品牌管理等。</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3.2会员系统运营（详细清单可见附件1）：每月运营策略/指标、互动活动、线下活动、小程序客服等。</w:t>
      </w: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第四条 任务及要求</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4.1本合同中所规定的乙方完成的工作主要为</w:t>
      </w:r>
      <w:r>
        <w:rPr>
          <w:rFonts w:hint="eastAsia" w:ascii="仿宋" w:hAnsi="仿宋" w:eastAsia="仿宋" w:cs="仿宋"/>
          <w:sz w:val="24"/>
          <w:highlight w:val="none"/>
          <w:u w:val="single"/>
        </w:rPr>
        <w:t>2026年“城享慧”会员系统建设及运营</w:t>
      </w:r>
      <w:r>
        <w:rPr>
          <w:rFonts w:hint="eastAsia" w:ascii="仿宋" w:hAnsi="仿宋" w:eastAsia="仿宋" w:cs="仿宋"/>
          <w:sz w:val="24"/>
          <w:highlight w:val="none"/>
        </w:rPr>
        <w:t>工作，为甲方提供优质的服务，甲方需求明细见附件清单。</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 验收确认：乙方按甲方确定的最终方案进行会员系统建设及会员运营，并完成对应功能建设和运营工作事项。</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以上内容需向甲方提交会员系统建设及会员运营总结报告，甲方逐项验收，并以书面形式确认（合同验收表见附件2）。</w:t>
      </w:r>
    </w:p>
    <w:p>
      <w:pPr>
        <w:snapToGrid w:val="0"/>
        <w:spacing w:before="156" w:beforeLines="50" w:after="156" w:afterLines="50"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在乙方全面按约履行其本合同项下义务的前提下，甲方应在乙方提交完整的会员系统建设及会员运营总结报告后的7个工作日内进行通知验收；如果</w:t>
      </w:r>
      <w:r>
        <w:rPr>
          <w:rFonts w:hint="eastAsia" w:ascii="仿宋" w:hAnsi="仿宋" w:eastAsia="仿宋" w:cs="仿宋"/>
          <w:sz w:val="24"/>
          <w:highlight w:val="none"/>
          <w:lang w:val="en-US" w:eastAsia="zh-CN"/>
        </w:rPr>
        <w:t>甲方提出修改意见，乙方应及时调改，并重新报送甲方确认</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如果甲方逾期不配合组织验收且经乙方书面催告后3个工作日内仍不验收，则视为项目验收通过，甲应按本合同约定的付款方式向乙方付款。</w:t>
      </w: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第五条 费用标准及付款方式</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5.1合同费用总计人民币 </w:t>
      </w:r>
      <w:r>
        <w:rPr>
          <w:rFonts w:hint="eastAsia" w:ascii="仿宋" w:hAnsi="仿宋" w:eastAsia="仿宋" w:cs="仿宋"/>
          <w:sz w:val="24"/>
          <w:highlight w:val="none"/>
          <w:u w:val="single"/>
        </w:rPr>
        <w:t xml:space="preserve">         元 </w:t>
      </w:r>
      <w:r>
        <w:rPr>
          <w:rFonts w:hint="eastAsia" w:ascii="仿宋" w:hAnsi="仿宋" w:eastAsia="仿宋" w:cs="仿宋"/>
          <w:sz w:val="24"/>
          <w:highlight w:val="none"/>
        </w:rPr>
        <w:t>（大写：元整），（其中不含税合同价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元，增值税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元（税率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%））。此费用是甲方需要支付乙方的全部且而唯一的费用，包含乙方方案执行中产生的费用及相关增值税税费金额，在服务期间产生的其他费用均由乙方承担。</w:t>
      </w:r>
    </w:p>
    <w:p>
      <w:pPr>
        <w:ind w:firstLine="480" w:firstLineChars="200"/>
        <w:rPr>
          <w:rFonts w:hint="eastAsia" w:ascii="仿宋" w:hAnsi="仿宋" w:eastAsia="仿宋" w:cs="仿宋"/>
          <w:sz w:val="24"/>
          <w:szCs w:val="32"/>
          <w:highlight w:val="none"/>
        </w:rPr>
      </w:pPr>
      <w:r>
        <w:rPr>
          <w:rFonts w:hint="eastAsia" w:ascii="仿宋" w:hAnsi="仿宋" w:eastAsia="仿宋" w:cs="仿宋"/>
          <w:sz w:val="24"/>
          <w:szCs w:val="32"/>
          <w:highlight w:val="none"/>
        </w:rPr>
        <w:t>5.2 甲方支付责任归属明细见下表：</w:t>
      </w:r>
    </w:p>
    <w:tbl>
      <w:tblPr>
        <w:tblStyle w:val="27"/>
        <w:tblW w:w="4998" w:type="pct"/>
        <w:tblInd w:w="0" w:type="dxa"/>
        <w:tblLayout w:type="autofit"/>
        <w:tblCellMar>
          <w:top w:w="0" w:type="dxa"/>
          <w:left w:w="108" w:type="dxa"/>
          <w:bottom w:w="0" w:type="dxa"/>
          <w:right w:w="108" w:type="dxa"/>
        </w:tblCellMar>
      </w:tblPr>
      <w:tblGrid>
        <w:gridCol w:w="1271"/>
        <w:gridCol w:w="3627"/>
        <w:gridCol w:w="3627"/>
      </w:tblGrid>
      <w:tr>
        <w:tblPrEx>
          <w:tblCellMar>
            <w:top w:w="0" w:type="dxa"/>
            <w:left w:w="108" w:type="dxa"/>
            <w:bottom w:w="0" w:type="dxa"/>
            <w:right w:w="108" w:type="dxa"/>
          </w:tblCellMar>
        </w:tblPrEx>
        <w:trPr>
          <w:trHeight w:val="270" w:hRule="atLeast"/>
        </w:trPr>
        <w:tc>
          <w:tcPr>
            <w:tcW w:w="7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支付单位</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支付项目</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kern w:val="0"/>
                <w:sz w:val="22"/>
                <w:szCs w:val="22"/>
                <w:highlight w:val="none"/>
                <w:lang w:bidi="ar"/>
              </w:rPr>
            </w:pPr>
            <w:r>
              <w:rPr>
                <w:rFonts w:hint="eastAsia" w:ascii="仿宋" w:hAnsi="仿宋" w:eastAsia="仿宋" w:cs="仿宋"/>
                <w:b/>
                <w:bCs/>
                <w:color w:val="000000"/>
                <w:kern w:val="0"/>
                <w:sz w:val="22"/>
                <w:szCs w:val="22"/>
                <w:highlight w:val="none"/>
                <w:lang w:bidi="ar"/>
              </w:rPr>
              <w:t>总支付费用（含税总价）</w:t>
            </w:r>
          </w:p>
        </w:tc>
      </w:tr>
      <w:tr>
        <w:tblPrEx>
          <w:tblCellMar>
            <w:top w:w="0" w:type="dxa"/>
            <w:left w:w="108" w:type="dxa"/>
            <w:bottom w:w="0" w:type="dxa"/>
            <w:right w:w="108" w:type="dxa"/>
          </w:tblCellMar>
        </w:tblPrEx>
        <w:trPr>
          <w:trHeight w:val="270" w:hRule="atLeast"/>
        </w:trPr>
        <w:tc>
          <w:tcPr>
            <w:tcW w:w="7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甲方1</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经营公司</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5" w:type="pct"/>
            <w:vMerge w:val="restart"/>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甲方2</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花城汇项目</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5"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天河新天地项目</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5" w:type="pct"/>
            <w:vMerge w:val="continue"/>
            <w:tcBorders>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南站新天地项目</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甲方3</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城壹汇北京路店项目</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流花中心项目</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甲方4</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花果山项目</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bl>
    <w:p>
      <w:pPr>
        <w:pStyle w:val="2"/>
        <w:ind w:firstLine="0"/>
        <w:rPr>
          <w:highlight w:val="none"/>
        </w:rPr>
      </w:pP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5.3付款方式：</w:t>
      </w:r>
    </w:p>
    <w:p>
      <w:pPr>
        <w:snapToGrid w:val="0"/>
        <w:spacing w:before="156" w:beforeLines="50" w:after="156" w:afterLines="50"/>
        <w:ind w:left="420"/>
        <w:rPr>
          <w:rFonts w:hint="eastAsia" w:ascii="仿宋" w:hAnsi="仿宋" w:eastAsia="仿宋" w:cs="仿宋"/>
          <w:sz w:val="24"/>
          <w:highlight w:val="none"/>
        </w:rPr>
      </w:pPr>
      <w:r>
        <w:rPr>
          <w:rFonts w:hint="eastAsia" w:ascii="仿宋" w:hAnsi="仿宋" w:eastAsia="仿宋" w:cs="仿宋"/>
          <w:sz w:val="24"/>
          <w:highlight w:val="none"/>
        </w:rPr>
        <w:t>5.3.1费用支付方式为人民币。</w:t>
      </w:r>
    </w:p>
    <w:p>
      <w:pPr>
        <w:snapToGrid w:val="0"/>
        <w:spacing w:before="156" w:beforeLines="50" w:after="156" w:afterLines="50"/>
        <w:ind w:left="420"/>
        <w:rPr>
          <w:rFonts w:hint="eastAsia" w:ascii="仿宋" w:hAnsi="仿宋" w:eastAsia="仿宋" w:cs="仿宋"/>
          <w:sz w:val="24"/>
          <w:highlight w:val="none"/>
        </w:rPr>
      </w:pPr>
      <w:r>
        <w:rPr>
          <w:rFonts w:hint="eastAsia" w:ascii="仿宋" w:hAnsi="仿宋" w:eastAsia="仿宋" w:cs="仿宋"/>
          <w:sz w:val="24"/>
          <w:highlight w:val="none"/>
        </w:rPr>
        <w:t>5.3.2项目费用分三期付款：</w:t>
      </w:r>
    </w:p>
    <w:p>
      <w:pPr>
        <w:snapToGrid w:val="0"/>
        <w:spacing w:before="156" w:beforeLines="50" w:after="156" w:afterLines="50" w:line="360" w:lineRule="auto"/>
        <w:ind w:left="420"/>
        <w:rPr>
          <w:rFonts w:hint="eastAsia" w:ascii="仿宋" w:hAnsi="仿宋" w:eastAsia="仿宋" w:cs="仿宋"/>
          <w:sz w:val="24"/>
          <w:highlight w:val="none"/>
        </w:rPr>
      </w:pPr>
      <w:r>
        <w:rPr>
          <w:rFonts w:hint="eastAsia" w:ascii="仿宋" w:hAnsi="仿宋" w:eastAsia="仿宋" w:cs="仿宋"/>
          <w:b/>
          <w:bCs/>
          <w:sz w:val="24"/>
          <w:highlight w:val="none"/>
        </w:rPr>
        <w:t>第一期：</w:t>
      </w:r>
      <w:r>
        <w:rPr>
          <w:rFonts w:hint="eastAsia" w:ascii="仿宋" w:hAnsi="仿宋" w:eastAsia="仿宋" w:cs="仿宋"/>
          <w:sz w:val="24"/>
          <w:highlight w:val="none"/>
        </w:rPr>
        <w:t>合同签订后20个工作日内，甲方收到乙方开具的有效发票后，甲方支付项目费用总额40%的费用，即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tbl>
      <w:tblPr>
        <w:tblStyle w:val="27"/>
        <w:tblW w:w="5000" w:type="pct"/>
        <w:tblInd w:w="0" w:type="dxa"/>
        <w:tblLayout w:type="autofit"/>
        <w:tblCellMar>
          <w:top w:w="0" w:type="dxa"/>
          <w:left w:w="108" w:type="dxa"/>
          <w:bottom w:w="0" w:type="dxa"/>
          <w:right w:w="108" w:type="dxa"/>
        </w:tblCellMar>
      </w:tblPr>
      <w:tblGrid>
        <w:gridCol w:w="1277"/>
        <w:gridCol w:w="3625"/>
        <w:gridCol w:w="3626"/>
      </w:tblGrid>
      <w:tr>
        <w:tblPrEx>
          <w:tblCellMar>
            <w:top w:w="0" w:type="dxa"/>
            <w:left w:w="108" w:type="dxa"/>
            <w:bottom w:w="0" w:type="dxa"/>
            <w:right w:w="108" w:type="dxa"/>
          </w:tblCellMar>
        </w:tblPrEx>
        <w:trPr>
          <w:trHeight w:val="151"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kern w:val="0"/>
                <w:sz w:val="22"/>
                <w:szCs w:val="22"/>
                <w:highlight w:val="none"/>
                <w:lang w:bidi="ar"/>
              </w:rPr>
            </w:pPr>
            <w:r>
              <w:rPr>
                <w:rFonts w:hint="eastAsia" w:ascii="仿宋" w:hAnsi="仿宋" w:eastAsia="仿宋" w:cs="仿宋"/>
                <w:b/>
                <w:bCs/>
                <w:color w:val="000000"/>
                <w:kern w:val="0"/>
                <w:sz w:val="28"/>
                <w:szCs w:val="28"/>
                <w:highlight w:val="none"/>
                <w:lang w:bidi="ar"/>
              </w:rPr>
              <w:t>第一期费用支付</w:t>
            </w:r>
          </w:p>
        </w:tc>
      </w:tr>
      <w:tr>
        <w:tblPrEx>
          <w:tblCellMar>
            <w:top w:w="0" w:type="dxa"/>
            <w:left w:w="108" w:type="dxa"/>
            <w:bottom w:w="0" w:type="dxa"/>
            <w:right w:w="108" w:type="dxa"/>
          </w:tblCellMar>
        </w:tblPrEx>
        <w:trPr>
          <w:trHeight w:val="151"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支付单位</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kern w:val="0"/>
                <w:sz w:val="22"/>
                <w:szCs w:val="22"/>
                <w:highlight w:val="none"/>
                <w:lang w:bidi="ar"/>
              </w:rPr>
            </w:pPr>
            <w:r>
              <w:rPr>
                <w:rFonts w:hint="eastAsia" w:ascii="仿宋" w:hAnsi="仿宋" w:eastAsia="仿宋" w:cs="仿宋"/>
                <w:b/>
                <w:bCs/>
                <w:color w:val="000000"/>
                <w:kern w:val="0"/>
                <w:sz w:val="22"/>
                <w:szCs w:val="22"/>
                <w:highlight w:val="none"/>
                <w:lang w:bidi="ar"/>
              </w:rPr>
              <w:t>支付费用（含税总价）</w:t>
            </w:r>
          </w:p>
        </w:tc>
      </w:tr>
      <w:tr>
        <w:tblPrEx>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甲方1</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经营公司</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甲方2</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花城汇项目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天河新天地项目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南站新天地项目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甲方3</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城壹汇北京路店项目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流花中心项目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甲方4</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花果山小镇项目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287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b/>
                <w:bCs/>
                <w:color w:val="000000"/>
                <w:kern w:val="0"/>
                <w:sz w:val="24"/>
                <w:highlight w:val="none"/>
                <w:lang w:bidi="ar"/>
              </w:rPr>
              <w:t>合计</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4"/>
                <w:highlight w:val="none"/>
                <w:lang w:bidi="ar"/>
              </w:rPr>
              <w:t>***元</w:t>
            </w:r>
          </w:p>
        </w:tc>
      </w:tr>
      <w:tr>
        <w:tblPrEx>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4"/>
                <w:highlight w:val="none"/>
                <w:lang w:bidi="ar"/>
              </w:rPr>
              <w:t>备注：各项目的付款相互独立，任一项目可先行支付该部分对应的项目合同款项。</w:t>
            </w:r>
          </w:p>
        </w:tc>
      </w:tr>
    </w:tbl>
    <w:p>
      <w:pPr>
        <w:pStyle w:val="2"/>
        <w:ind w:firstLine="0"/>
        <w:rPr>
          <w:highlight w:val="none"/>
        </w:rPr>
      </w:pPr>
    </w:p>
    <w:p>
      <w:pPr>
        <w:snapToGrid w:val="0"/>
        <w:spacing w:before="156" w:beforeLines="50" w:after="156" w:afterLines="50" w:line="360" w:lineRule="auto"/>
        <w:ind w:left="420"/>
        <w:rPr>
          <w:rFonts w:hint="eastAsia" w:ascii="仿宋" w:hAnsi="仿宋" w:eastAsia="仿宋" w:cs="仿宋"/>
          <w:sz w:val="24"/>
          <w:highlight w:val="none"/>
        </w:rPr>
      </w:pPr>
      <w:r>
        <w:rPr>
          <w:rFonts w:hint="eastAsia" w:ascii="仿宋" w:hAnsi="仿宋" w:eastAsia="仿宋" w:cs="仿宋"/>
          <w:b/>
          <w:bCs/>
          <w:sz w:val="24"/>
          <w:highlight w:val="none"/>
        </w:rPr>
        <w:t>第二期：</w:t>
      </w:r>
      <w:r>
        <w:rPr>
          <w:rFonts w:hint="eastAsia" w:ascii="仿宋" w:hAnsi="仿宋" w:eastAsia="仿宋" w:cs="仿宋"/>
          <w:sz w:val="24"/>
          <w:highlight w:val="none"/>
        </w:rPr>
        <w:t>系统建设完成且乙方向甲方提供建设报告及相关资料，并经由甲方验收确认，甲方支付该项目费用总额的</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0%费用，即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tbl>
      <w:tblPr>
        <w:tblStyle w:val="27"/>
        <w:tblW w:w="5000" w:type="pct"/>
        <w:tblInd w:w="0" w:type="dxa"/>
        <w:tblLayout w:type="autofit"/>
        <w:tblCellMar>
          <w:top w:w="0" w:type="dxa"/>
          <w:left w:w="108" w:type="dxa"/>
          <w:bottom w:w="0" w:type="dxa"/>
          <w:right w:w="108" w:type="dxa"/>
        </w:tblCellMar>
      </w:tblPr>
      <w:tblGrid>
        <w:gridCol w:w="1277"/>
        <w:gridCol w:w="3625"/>
        <w:gridCol w:w="3626"/>
      </w:tblGrid>
      <w:tr>
        <w:tblPrEx>
          <w:tblCellMar>
            <w:top w:w="0" w:type="dxa"/>
            <w:left w:w="108" w:type="dxa"/>
            <w:bottom w:w="0" w:type="dxa"/>
            <w:right w:w="108" w:type="dxa"/>
          </w:tblCellMar>
        </w:tblPrEx>
        <w:trPr>
          <w:trHeight w:val="151"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kern w:val="0"/>
                <w:sz w:val="22"/>
                <w:szCs w:val="22"/>
                <w:highlight w:val="none"/>
                <w:lang w:bidi="ar"/>
              </w:rPr>
            </w:pPr>
            <w:r>
              <w:rPr>
                <w:rFonts w:hint="eastAsia" w:ascii="仿宋" w:hAnsi="仿宋" w:eastAsia="仿宋" w:cs="仿宋"/>
                <w:b/>
                <w:bCs/>
                <w:color w:val="000000"/>
                <w:kern w:val="0"/>
                <w:sz w:val="28"/>
                <w:szCs w:val="28"/>
                <w:highlight w:val="none"/>
                <w:lang w:bidi="ar"/>
              </w:rPr>
              <w:t>第二期费用支付</w:t>
            </w:r>
          </w:p>
        </w:tc>
      </w:tr>
      <w:tr>
        <w:tblPrEx>
          <w:tblCellMar>
            <w:top w:w="0" w:type="dxa"/>
            <w:left w:w="108" w:type="dxa"/>
            <w:bottom w:w="0" w:type="dxa"/>
            <w:right w:w="108" w:type="dxa"/>
          </w:tblCellMar>
        </w:tblPrEx>
        <w:trPr>
          <w:trHeight w:val="151"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支付单位</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kern w:val="0"/>
                <w:sz w:val="22"/>
                <w:szCs w:val="22"/>
                <w:highlight w:val="none"/>
                <w:lang w:bidi="ar"/>
              </w:rPr>
            </w:pPr>
            <w:r>
              <w:rPr>
                <w:rFonts w:hint="eastAsia" w:ascii="仿宋" w:hAnsi="仿宋" w:eastAsia="仿宋" w:cs="仿宋"/>
                <w:b/>
                <w:bCs/>
                <w:color w:val="000000"/>
                <w:kern w:val="0"/>
                <w:sz w:val="22"/>
                <w:szCs w:val="22"/>
                <w:highlight w:val="none"/>
                <w:lang w:bidi="ar"/>
              </w:rPr>
              <w:t>支付费用（含税总价）</w:t>
            </w:r>
          </w:p>
        </w:tc>
      </w:tr>
      <w:tr>
        <w:tblPrEx>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甲方1</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经营公司</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甲方2</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花城汇项目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天河新天地项目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南站新天地项目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甲方3</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城壹汇北京路店项目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流花中心项目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甲方4</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花果山小镇项目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287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b/>
                <w:bCs/>
                <w:color w:val="000000"/>
                <w:kern w:val="0"/>
                <w:sz w:val="24"/>
                <w:highlight w:val="none"/>
                <w:lang w:bidi="ar"/>
              </w:rPr>
              <w:t>合计</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4"/>
                <w:highlight w:val="none"/>
                <w:lang w:bidi="ar"/>
              </w:rPr>
              <w:t>***元</w:t>
            </w:r>
          </w:p>
        </w:tc>
      </w:tr>
      <w:tr>
        <w:tblPrEx>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4"/>
                <w:highlight w:val="none"/>
                <w:lang w:bidi="ar"/>
              </w:rPr>
              <w:t>备注：各项目的付款相互独立，任一项目可先行支付该部分对应的项目合同款项。</w:t>
            </w:r>
          </w:p>
        </w:tc>
      </w:tr>
    </w:tbl>
    <w:p>
      <w:pPr>
        <w:pStyle w:val="2"/>
        <w:rPr>
          <w:highlight w:val="none"/>
        </w:rPr>
      </w:pPr>
    </w:p>
    <w:p>
      <w:pPr>
        <w:snapToGrid w:val="0"/>
        <w:spacing w:before="156" w:beforeLines="50" w:after="156" w:afterLines="50" w:line="360" w:lineRule="auto"/>
        <w:ind w:left="420"/>
        <w:rPr>
          <w:rFonts w:hint="eastAsia" w:ascii="仿宋" w:hAnsi="仿宋" w:eastAsia="仿宋" w:cs="仿宋"/>
          <w:sz w:val="24"/>
          <w:highlight w:val="none"/>
        </w:rPr>
      </w:pPr>
      <w:r>
        <w:rPr>
          <w:rFonts w:hint="eastAsia" w:ascii="仿宋" w:hAnsi="仿宋" w:eastAsia="仿宋" w:cs="仿宋"/>
          <w:b/>
          <w:bCs/>
          <w:sz w:val="24"/>
          <w:highlight w:val="none"/>
        </w:rPr>
        <w:t>第三期：</w:t>
      </w:r>
      <w:r>
        <w:rPr>
          <w:rFonts w:hint="eastAsia" w:ascii="仿宋" w:hAnsi="仿宋" w:eastAsia="仿宋" w:cs="仿宋"/>
          <w:sz w:val="24"/>
          <w:highlight w:val="none"/>
        </w:rPr>
        <w:t>项目全部完结且乙方向甲方提供运营报告及数据资料，并经由甲方验收确认，甲方支付该项目费用总额的20%费用，即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tbl>
      <w:tblPr>
        <w:tblStyle w:val="27"/>
        <w:tblW w:w="5000" w:type="pct"/>
        <w:tblInd w:w="0" w:type="dxa"/>
        <w:tblLayout w:type="autofit"/>
        <w:tblCellMar>
          <w:top w:w="0" w:type="dxa"/>
          <w:left w:w="108" w:type="dxa"/>
          <w:bottom w:w="0" w:type="dxa"/>
          <w:right w:w="108" w:type="dxa"/>
        </w:tblCellMar>
      </w:tblPr>
      <w:tblGrid>
        <w:gridCol w:w="1277"/>
        <w:gridCol w:w="3625"/>
        <w:gridCol w:w="3626"/>
      </w:tblGrid>
      <w:tr>
        <w:tblPrEx>
          <w:tblCellMar>
            <w:top w:w="0" w:type="dxa"/>
            <w:left w:w="108" w:type="dxa"/>
            <w:bottom w:w="0" w:type="dxa"/>
            <w:right w:w="108" w:type="dxa"/>
          </w:tblCellMar>
        </w:tblPrEx>
        <w:trPr>
          <w:trHeight w:val="151"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kern w:val="0"/>
                <w:sz w:val="22"/>
                <w:szCs w:val="22"/>
                <w:highlight w:val="none"/>
                <w:lang w:bidi="ar"/>
              </w:rPr>
            </w:pPr>
            <w:r>
              <w:rPr>
                <w:rFonts w:hint="eastAsia" w:ascii="仿宋" w:hAnsi="仿宋" w:eastAsia="仿宋" w:cs="仿宋"/>
                <w:b/>
                <w:bCs/>
                <w:color w:val="000000"/>
                <w:kern w:val="0"/>
                <w:sz w:val="28"/>
                <w:szCs w:val="28"/>
                <w:highlight w:val="none"/>
                <w:lang w:bidi="ar"/>
              </w:rPr>
              <w:t>第三期费用支付</w:t>
            </w:r>
          </w:p>
        </w:tc>
      </w:tr>
      <w:tr>
        <w:tblPrEx>
          <w:tblCellMar>
            <w:top w:w="0" w:type="dxa"/>
            <w:left w:w="108" w:type="dxa"/>
            <w:bottom w:w="0" w:type="dxa"/>
            <w:right w:w="108" w:type="dxa"/>
          </w:tblCellMar>
        </w:tblPrEx>
        <w:trPr>
          <w:trHeight w:val="151"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支付单位</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支付项目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kern w:val="0"/>
                <w:sz w:val="22"/>
                <w:szCs w:val="22"/>
                <w:highlight w:val="none"/>
                <w:lang w:bidi="ar"/>
              </w:rPr>
            </w:pPr>
            <w:r>
              <w:rPr>
                <w:rFonts w:hint="eastAsia" w:ascii="仿宋" w:hAnsi="仿宋" w:eastAsia="仿宋" w:cs="仿宋"/>
                <w:b/>
                <w:bCs/>
                <w:color w:val="000000"/>
                <w:kern w:val="0"/>
                <w:sz w:val="22"/>
                <w:szCs w:val="22"/>
                <w:highlight w:val="none"/>
                <w:lang w:bidi="ar"/>
              </w:rPr>
              <w:t>支付费用（含税总价）</w:t>
            </w:r>
          </w:p>
        </w:tc>
      </w:tr>
      <w:tr>
        <w:tblPrEx>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甲方1</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经营公司</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甲方2</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花城汇项目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天河新天地项目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南站新天地项目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甲方3</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城壹汇北京路店项目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2"/>
                <w:szCs w:val="22"/>
                <w:highlight w:val="none"/>
              </w:rPr>
            </w:pP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流花中心项目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甲方4</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花果山小镇项目</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***元</w:t>
            </w:r>
          </w:p>
        </w:tc>
      </w:tr>
      <w:tr>
        <w:tblPrEx>
          <w:tblCellMar>
            <w:top w:w="0" w:type="dxa"/>
            <w:left w:w="108" w:type="dxa"/>
            <w:bottom w:w="0" w:type="dxa"/>
            <w:right w:w="108" w:type="dxa"/>
          </w:tblCellMar>
        </w:tblPrEx>
        <w:trPr>
          <w:trHeight w:val="270" w:hRule="atLeast"/>
        </w:trPr>
        <w:tc>
          <w:tcPr>
            <w:tcW w:w="287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b/>
                <w:bCs/>
                <w:color w:val="000000"/>
                <w:kern w:val="0"/>
                <w:sz w:val="24"/>
                <w:highlight w:val="none"/>
                <w:lang w:bidi="ar"/>
              </w:rPr>
              <w:t>合计</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4"/>
                <w:highlight w:val="none"/>
                <w:lang w:bidi="ar"/>
              </w:rPr>
              <w:t>***元</w:t>
            </w:r>
          </w:p>
        </w:tc>
      </w:tr>
      <w:tr>
        <w:tblPrEx>
          <w:tblCellMar>
            <w:top w:w="0" w:type="dxa"/>
            <w:left w:w="108" w:type="dxa"/>
            <w:bottom w:w="0" w:type="dxa"/>
            <w:right w:w="108" w:type="dxa"/>
          </w:tblCellMar>
        </w:tblPrEx>
        <w:trPr>
          <w:trHeight w:val="27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4"/>
                <w:highlight w:val="none"/>
                <w:lang w:bidi="ar"/>
              </w:rPr>
              <w:t>备注：各项目的付款相互独立，任一项目可先行支付该部分对应的项目合同款项。</w:t>
            </w:r>
          </w:p>
        </w:tc>
      </w:tr>
    </w:tbl>
    <w:p>
      <w:pPr>
        <w:pStyle w:val="2"/>
        <w:rPr>
          <w:highlight w:val="none"/>
        </w:rPr>
      </w:pPr>
    </w:p>
    <w:p>
      <w:pPr>
        <w:snapToGrid w:val="0"/>
        <w:spacing w:before="156" w:beforeLines="50" w:after="156" w:afterLines="50"/>
        <w:ind w:left="420"/>
        <w:rPr>
          <w:rFonts w:hint="eastAsia" w:ascii="仿宋" w:hAnsi="仿宋" w:eastAsia="仿宋" w:cs="仿宋"/>
          <w:sz w:val="24"/>
          <w:highlight w:val="none"/>
        </w:rPr>
      </w:pPr>
      <w:r>
        <w:rPr>
          <w:rFonts w:hint="eastAsia" w:ascii="仿宋" w:hAnsi="仿宋" w:eastAsia="仿宋" w:cs="仿宋"/>
          <w:sz w:val="24"/>
          <w:highlight w:val="none"/>
        </w:rPr>
        <w:t>5.3.3付款方式：甲方付款方式以支票或汇款形式支付。</w:t>
      </w:r>
    </w:p>
    <w:p>
      <w:pPr>
        <w:snapToGrid w:val="0"/>
        <w:spacing w:before="156" w:beforeLines="50" w:after="156" w:afterLines="50"/>
        <w:ind w:left="420"/>
        <w:rPr>
          <w:rFonts w:hint="eastAsia" w:ascii="仿宋" w:hAnsi="仿宋" w:eastAsia="仿宋" w:cs="仿宋"/>
          <w:sz w:val="24"/>
          <w:highlight w:val="none"/>
        </w:rPr>
      </w:pPr>
      <w:r>
        <w:rPr>
          <w:rFonts w:hint="eastAsia" w:ascii="仿宋" w:hAnsi="仿宋" w:eastAsia="仿宋" w:cs="仿宋"/>
          <w:sz w:val="24"/>
          <w:highlight w:val="none"/>
        </w:rPr>
        <w:t>5.3.4甲方支付款项前，乙方应开具有效增值税专用发票，发票经甲方审查合格后十个工作日内，甲方向乙方支付相应款项。</w:t>
      </w: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5.4乙方银行账号：</w:t>
      </w:r>
    </w:p>
    <w:p>
      <w:pPr>
        <w:pStyle w:val="49"/>
        <w:numPr>
          <w:ilvl w:val="0"/>
          <w:numId w:val="5"/>
        </w:numPr>
        <w:tabs>
          <w:tab w:val="clear" w:pos="840"/>
        </w:tabs>
        <w:snapToGrid w:val="0"/>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开户名：</w:t>
      </w:r>
    </w:p>
    <w:p>
      <w:pPr>
        <w:numPr>
          <w:ilvl w:val="0"/>
          <w:numId w:val="5"/>
        </w:numPr>
        <w:snapToGrid w:val="0"/>
        <w:spacing w:before="156" w:beforeLines="50" w:after="156" w:afterLines="50"/>
        <w:rPr>
          <w:rFonts w:hint="eastAsia" w:ascii="仿宋" w:hAnsi="仿宋" w:eastAsia="仿宋" w:cs="仿宋"/>
          <w:sz w:val="24"/>
          <w:highlight w:val="none"/>
        </w:rPr>
      </w:pPr>
      <w:r>
        <w:rPr>
          <w:rFonts w:hint="eastAsia" w:ascii="仿宋" w:hAnsi="仿宋" w:eastAsia="仿宋" w:cs="仿宋"/>
          <w:sz w:val="24"/>
          <w:highlight w:val="none"/>
        </w:rPr>
        <w:t>开户行：</w:t>
      </w:r>
    </w:p>
    <w:p>
      <w:pPr>
        <w:numPr>
          <w:ilvl w:val="0"/>
          <w:numId w:val="5"/>
        </w:numPr>
        <w:snapToGrid w:val="0"/>
        <w:spacing w:before="156" w:beforeLines="50" w:after="156" w:afterLines="50"/>
        <w:rPr>
          <w:rFonts w:hint="eastAsia" w:ascii="仿宋" w:hAnsi="仿宋" w:eastAsia="仿宋" w:cs="仿宋"/>
          <w:sz w:val="24"/>
          <w:highlight w:val="none"/>
        </w:rPr>
      </w:pPr>
      <w:r>
        <w:rPr>
          <w:rFonts w:hint="eastAsia" w:ascii="仿宋" w:hAnsi="仿宋" w:eastAsia="仿宋" w:cs="仿宋"/>
          <w:sz w:val="24"/>
          <w:highlight w:val="none"/>
        </w:rPr>
        <w:t>账  号：</w:t>
      </w:r>
    </w:p>
    <w:p>
      <w:pPr>
        <w:snapToGrid w:val="0"/>
        <w:spacing w:before="156" w:beforeLines="50" w:after="156" w:afterLines="50"/>
        <w:ind w:left="420"/>
        <w:rPr>
          <w:rFonts w:hint="eastAsia" w:ascii="仿宋" w:hAnsi="仿宋" w:eastAsia="仿宋" w:cs="仿宋"/>
          <w:sz w:val="24"/>
          <w:highlight w:val="none"/>
        </w:rPr>
      </w:pP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5.5甲方对乙方的付款均以乙方按约履行其全部合同义务为前提，若乙方在本合同履行过程中存在任何违约行为，且对该等违约行为乙方未能按照甲方要求采取相应补救/补偿措施，则甲方有权拒绝付款或要求乙方退还相应款项而无须承担任何违约责任。甲方对乙方的任何付款并不表明甲方对乙方工作的全部或者部分接受。</w:t>
      </w:r>
    </w:p>
    <w:p>
      <w:pPr>
        <w:snapToGrid w:val="0"/>
        <w:spacing w:before="156" w:beforeLines="50" w:after="156" w:afterLines="50"/>
        <w:rPr>
          <w:rFonts w:hint="eastAsia" w:ascii="仿宋" w:hAnsi="仿宋" w:eastAsia="仿宋" w:cs="仿宋"/>
          <w:b/>
          <w:sz w:val="24"/>
          <w:highlight w:val="none"/>
        </w:rPr>
      </w:pP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第六条 甲方的权利与责任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6.1有权随时向乙方沟通推广运营计划的修改情况并有权提出合理化建议，乙方应按照甲方要求进行修改并执行。</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6.2对双方共同制定的推广和管理计划主动支持。</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6.3在乙方全面按约履行其本合同项下义务的前提下，履行合同付款义务。</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6.4有权在每个月的月末对乙方工作进行阶段性评估，并将评估结果通知乙方，乙方应遵照甲方的要求调整会员运营策略。</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6.5为便于乙方工作需要，甲方需安排推广部门相关人员的直接沟通。</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6.6未经甲方事先书面同意，乙方不得擅自改动甲方提交的推广内容。</w:t>
      </w:r>
    </w:p>
    <w:p>
      <w:pPr>
        <w:snapToGrid w:val="0"/>
        <w:spacing w:before="156" w:beforeLines="50" w:after="156" w:afterLines="50"/>
        <w:rPr>
          <w:rFonts w:hint="eastAsia" w:ascii="仿宋" w:hAnsi="仿宋" w:eastAsia="仿宋" w:cs="仿宋"/>
          <w:b/>
          <w:sz w:val="24"/>
          <w:highlight w:val="none"/>
        </w:rPr>
      </w:pP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第七条 乙方的责任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7.1乙方应委派具有会员运营经验的专人组成项目工作组，按照经甲方批准的会员运营方案为甲提供会员运营服务，甲方对运营服务的修改及建议并不能视为乙方在本合同项下义务的减少。</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7.2乙方须确保项目工作组成员按照甲方的需求完成甲方所规定的运营服务并提供会员技术服务，同时乙方应将按照本合同的约定开发和运营。</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 为了保证甲方的利益和服务质量，乙方应无条件地按甲方明示下的项目工作推进表和（或）指令按时完成项目工作内容。</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7.4若因乙方的原因，致使推广无法正常进行或未能达到预期效果，乙方将负全部责任并承担本合同项下的违约责任。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7.6经甲方授权后由乙方传播出去的任何资料（包括但不限于二次转载、编辑加工、评论等），乙方均不具有版权等任何权利。</w:t>
      </w:r>
    </w:p>
    <w:p>
      <w:pPr>
        <w:snapToGrid w:val="0"/>
        <w:spacing w:line="360" w:lineRule="auto"/>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7.7非经甲方的书面同意，乙方不得将其在本合同下的权利或义务转让给任何第三方、不能转包或分包。</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7.8本合同双方均系独立的订约人，且双方之间不因本合同的订立和履行而建立任何雇佣、代理、合伙、合资或其它类似的法律关系。本合同不在甲方和乙方人员之间形成任何劳动、劳务、雇佣关系。</w:t>
      </w:r>
    </w:p>
    <w:p>
      <w:pPr>
        <w:snapToGrid w:val="0"/>
        <w:spacing w:before="156" w:beforeLines="50" w:after="156" w:afterLines="50"/>
        <w:rPr>
          <w:rFonts w:hint="eastAsia" w:ascii="仿宋" w:hAnsi="仿宋" w:eastAsia="仿宋" w:cs="仿宋"/>
          <w:b/>
          <w:sz w:val="24"/>
          <w:highlight w:val="none"/>
        </w:rPr>
      </w:pP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第八条 知识产权保护及保密条款</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sz w:val="24"/>
          <w:highlight w:val="none"/>
          <w:lang w:eastAsia="zh-CN"/>
        </w:rPr>
        <w:t>乙方在本项目中使用的会员系统等乙方原有知识产权的软件、框架、组件、技术方案（以下简称 “乙方原有技术”），其全部知识产权与所有权始终归乙方单独所有，不因本项目合作发生任何转移</w:t>
      </w:r>
      <w:r>
        <w:rPr>
          <w:rFonts w:hint="eastAsia" w:ascii="仿宋" w:hAnsi="仿宋" w:eastAsia="仿宋" w:cs="仿宋"/>
          <w:sz w:val="24"/>
          <w:highlight w:val="none"/>
        </w:rPr>
        <w:t>。乙方保证其提供的技术服务的知识产权合法有效，未侵犯第三方合法权益，若因此引发知识产权纠纷或给甲方造成损失的，乙方应按本合同规定承担违约责任。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8.2乙方基于上述乙方原有技术，再根据甲方的需求进行升级所形成的</w:t>
      </w:r>
      <w:r>
        <w:rPr>
          <w:rFonts w:hint="eastAsia" w:ascii="仿宋" w:hAnsi="仿宋" w:eastAsia="仿宋" w:cs="仿宋"/>
          <w:sz w:val="24"/>
          <w:highlight w:val="none"/>
        </w:rPr>
        <w:t>本项目</w:t>
      </w:r>
      <w:r>
        <w:rPr>
          <w:rFonts w:hint="eastAsia" w:ascii="仿宋" w:hAnsi="仿宋" w:eastAsia="仿宋" w:cs="仿宋"/>
          <w:sz w:val="24"/>
          <w:highlight w:val="none"/>
          <w:lang w:val="en-US" w:eastAsia="zh-CN"/>
        </w:rPr>
        <w:t>最终</w:t>
      </w:r>
      <w:r>
        <w:rPr>
          <w:rFonts w:hint="eastAsia" w:ascii="仿宋" w:hAnsi="仿宋" w:eastAsia="仿宋" w:cs="仿宋"/>
          <w:sz w:val="24"/>
          <w:highlight w:val="none"/>
        </w:rPr>
        <w:t>交付系统</w:t>
      </w:r>
      <w:r>
        <w:rPr>
          <w:rFonts w:hint="eastAsia" w:ascii="仿宋" w:hAnsi="仿宋" w:eastAsia="仿宋" w:cs="仿宋"/>
          <w:sz w:val="24"/>
          <w:highlight w:val="none"/>
          <w:lang w:eastAsia="zh-CN"/>
        </w:rPr>
        <w:t>（</w:t>
      </w:r>
      <w:r>
        <w:rPr>
          <w:rFonts w:hint="eastAsia" w:ascii="仿宋" w:hAnsi="仿宋" w:eastAsia="仿宋" w:cs="仿宋"/>
          <w:sz w:val="24"/>
          <w:highlight w:val="none"/>
        </w:rPr>
        <w:t>以下简称“项目交付成果”），甲方拥有项目交付成果的</w:t>
      </w:r>
      <w:r>
        <w:rPr>
          <w:rFonts w:hint="eastAsia" w:ascii="仿宋" w:hAnsi="仿宋" w:eastAsia="仿宋" w:cs="仿宋"/>
          <w:sz w:val="24"/>
          <w:highlight w:val="none"/>
          <w:lang w:val="en-US" w:eastAsia="zh-CN"/>
        </w:rPr>
        <w:t>所有权及知识产权，包括</w:t>
      </w:r>
      <w:r>
        <w:rPr>
          <w:rFonts w:hint="eastAsia" w:ascii="仿宋" w:hAnsi="仿宋" w:eastAsia="仿宋" w:cs="仿宋"/>
          <w:sz w:val="24"/>
          <w:highlight w:val="none"/>
        </w:rPr>
        <w:t>系统版面设计部分。运营过程中产生的全部数据与资料的所有权归甲方所有，乙方应遵守保密义务且不得擅自使用或泄露；未经甲方书面同意，乙方不得将上述数据与资料提供给第三者使用，否则甲方有权要求乙方赔偿造成的所有损失。</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8.3甲方仅对项目交付成果享有完整知识产权及所有权，不享有乙方原有技术的任何知识产权；甲方不得对乙方原有技术进行反向工程、反编译、拆解、复制、分发、授权或用于本项目以外的任何用途。</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乙方承诺，乙方应对其所提供的本合同服务（包括但不限于由乙方编辑、设计、发布的微博内容）的合法性与质量负责，确保其不侵犯任何第三方所有权、知识产权、名誉权、肖像权及任何权益，亦不违反相关法律法规规定，否则由此造成的侵权等任何责任由乙方承担，并应负责使甲方及甲方客户免受任何责任和损失。且甲方有权主张乙方未完成本合同义务，并要求由乙方承担本合同约定的相应违约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乙方为履行本合同所使用的非来源于甲方的任何视频及/或音频、文字作品和图片等包括但不限于二次转载、编辑加工、评论等均应合法取得，如果乙方因使用任何视频及/或音频\文字作品和图片等侵犯他人的权利或违反国家法律法规并/或给甲方或甲方客户造成损失（包括但不限于直接损失，间接损失及律师费等），乙方应当赔偿；且在合同有效期内，其发表的任何言论、信息、内容或提供的任何服务均不得损害甲方及甲方客户的利益、形象。</w:t>
      </w:r>
    </w:p>
    <w:p>
      <w:pPr>
        <w:snapToGrid w:val="0"/>
        <w:spacing w:before="156" w:beforeLines="50" w:after="156" w:afterLines="50"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乙方承诺无论在合同期内还是合同终止，乙方均对本合同内容及甲方履行本合同所提供的资料及其它商业秘密负有保密的义务，并采取一切合法的措施以使其所接受的资料免于散发、传播、披露、复制、滥用及被无关人员接触，不得向为第三人提供便利条件或向第三人提供、泄露甲方资料。上述保密义务在本合同解除、终止之后仍持续永久有效。于本合同终止之日，甲方有权要求乙方返还或销毁其所提供的资料。乙方应负责确保其员工遵守本条所规定的相应保密义务。</w:t>
      </w: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第九条 免责条款</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由于无法预见不可避免的不可抗力事件，例如战争、地震、暴乱或司法、政府限制、会员程序出现维护、关停等无法使用的情况等超出各方合理控制范围的突发事件的发生，导致任何一方不能执行本合同中的部分或全部义务时，遭受不可抗力的一方应及时通知对方并提供相关证明，对方可根据实际情况部分或全部免除其承担违约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双方可根据该不可抗力的严重程度做出如下选择：</w:t>
      </w:r>
    </w:p>
    <w:p>
      <w:pPr>
        <w:numPr>
          <w:ilvl w:val="0"/>
          <w:numId w:val="6"/>
        </w:numPr>
        <w:snapToGrid w:val="0"/>
        <w:spacing w:before="156" w:beforeLines="50" w:after="156" w:afterLines="50" w:line="360" w:lineRule="auto"/>
        <w:rPr>
          <w:rFonts w:hint="eastAsia" w:ascii="仿宋" w:hAnsi="仿宋" w:eastAsia="仿宋" w:cs="仿宋"/>
          <w:sz w:val="24"/>
          <w:highlight w:val="none"/>
        </w:rPr>
      </w:pPr>
      <w:r>
        <w:rPr>
          <w:rFonts w:hint="eastAsia" w:ascii="仿宋" w:hAnsi="仿宋" w:eastAsia="仿宋" w:cs="仿宋"/>
          <w:sz w:val="24"/>
          <w:highlight w:val="none"/>
        </w:rPr>
        <w:t>顺延项目的完成期限，并于顺延期间内随时终止本合同。</w:t>
      </w:r>
    </w:p>
    <w:p>
      <w:pPr>
        <w:numPr>
          <w:ilvl w:val="0"/>
          <w:numId w:val="6"/>
        </w:numPr>
        <w:snapToGrid w:val="0"/>
        <w:spacing w:before="156" w:beforeLines="50" w:after="156" w:afterLines="50" w:line="360" w:lineRule="auto"/>
        <w:rPr>
          <w:rFonts w:hint="eastAsia" w:ascii="仿宋" w:hAnsi="仿宋" w:eastAsia="仿宋" w:cs="仿宋"/>
          <w:b/>
          <w:sz w:val="24"/>
          <w:highlight w:val="none"/>
        </w:rPr>
      </w:pPr>
      <w:r>
        <w:rPr>
          <w:rFonts w:hint="eastAsia" w:ascii="仿宋" w:hAnsi="仿宋" w:eastAsia="仿宋" w:cs="仿宋"/>
          <w:sz w:val="24"/>
          <w:highlight w:val="none"/>
        </w:rPr>
        <w:t>立即终止本合同。</w:t>
      </w:r>
    </w:p>
    <w:p>
      <w:pPr>
        <w:snapToGrid w:val="0"/>
        <w:spacing w:before="156" w:beforeLines="50" w:after="156" w:afterLines="50" w:line="360" w:lineRule="auto"/>
        <w:rPr>
          <w:rFonts w:hint="eastAsia" w:ascii="仿宋" w:hAnsi="仿宋" w:eastAsia="仿宋" w:cs="仿宋"/>
          <w:b/>
          <w:sz w:val="24"/>
          <w:highlight w:val="none"/>
        </w:rPr>
      </w:pPr>
      <w:r>
        <w:rPr>
          <w:rFonts w:hint="eastAsia" w:ascii="仿宋" w:hAnsi="仿宋" w:eastAsia="仿宋" w:cs="仿宋"/>
          <w:b/>
          <w:sz w:val="24"/>
          <w:highlight w:val="none"/>
        </w:rPr>
        <w:t>第十条 法律效力</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本合同未尽事宜，双方应另行协商并签订补充协议。本合同的补充协议、附件同为本合同不可分割的组成部分，与本合同具有同等法律效力。</w:t>
      </w:r>
    </w:p>
    <w:p>
      <w:pPr>
        <w:snapToGrid w:val="0"/>
        <w:spacing w:before="156" w:beforeLines="50" w:after="156" w:afterLines="50" w:line="360" w:lineRule="auto"/>
        <w:rPr>
          <w:rFonts w:hint="eastAsia" w:ascii="仿宋" w:hAnsi="仿宋" w:eastAsia="仿宋" w:cs="仿宋"/>
          <w:b/>
          <w:sz w:val="24"/>
          <w:highlight w:val="none"/>
        </w:rPr>
      </w:pPr>
      <w:r>
        <w:rPr>
          <w:rFonts w:hint="eastAsia" w:ascii="仿宋" w:hAnsi="仿宋" w:eastAsia="仿宋" w:cs="仿宋"/>
          <w:b/>
          <w:sz w:val="24"/>
          <w:highlight w:val="none"/>
        </w:rPr>
        <w:t>第十一条 违约责任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11.1任何一方违反其在合同中的义务，另一方有权要求对方依据本合同的有关条款和中华人民共和国的相关法律进行赔偿。</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11.2乙方未达到本合同约定的工作要求或交付的成果损害第三方、甲方利益，造成甲方经济损失的，乙方应向甲方支付合同费用30%的违约金并足额赔偿甲方及甲方客户的全部损失。</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11.3乙方擅自改变工作内容和要求、项目计划和时间安排等本合同的约定，应当退还甲方支付的相关服务费用，给甲方造成任何损失的，乙方还应当赔偿损失并按上述11.2条款承担违约责任。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11.4双方应采取一切合理和必要的措施履行前述保密义务。若一方违反前述义务应向对方承担本合同金额30%的违约金，给对方造成损失的，还应赔偿对方损失。</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非因甲方原因致使乙方在某一具体服务开始前取消该具体服务的，乙方应立即通知甲方并向甲方退还该服务的全部款项，并应赔偿甲方为该服务所支出的一切合理费用，同时乙方还应按上述11.2条款承担违约责任。</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11.6乙方应在本合同期限届满或解除后一周内交还甲方所有应属于甲方的资料、产品等。</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11.7 乙方推送的文章或其他信息侵犯他人的知识产权或其他权利，乙方承担一切责任，甲方有权解除合同要求乙方支付相当于合同款30%违约金并要求乙方返还相应已收款项、赔偿损失。</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11.8在乙方全面按约履行其本合同项下义务的前提下，甲方未按本合同约定履行合同付款义务，每逾期一日，应按应付费用金额的5‰向乙方支付违约金，违约金累计金额不超过合同总额的30%。</w:t>
      </w:r>
    </w:p>
    <w:p>
      <w:pPr>
        <w:snapToGrid w:val="0"/>
        <w:spacing w:before="156" w:beforeLines="50" w:after="156" w:afterLines="50" w:line="360" w:lineRule="auto"/>
        <w:rPr>
          <w:rFonts w:hint="eastAsia" w:ascii="仿宋" w:hAnsi="仿宋" w:eastAsia="仿宋" w:cs="仿宋"/>
          <w:b/>
          <w:sz w:val="24"/>
          <w:highlight w:val="none"/>
        </w:rPr>
      </w:pPr>
      <w:r>
        <w:rPr>
          <w:rFonts w:hint="eastAsia" w:ascii="仿宋" w:hAnsi="仿宋" w:eastAsia="仿宋" w:cs="仿宋"/>
          <w:b/>
          <w:sz w:val="24"/>
          <w:highlight w:val="none"/>
        </w:rPr>
        <w:t>第十二条 合同的提前终止</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12.1．甲方享有单方解除权，有权提前30日书面通知乙方以终止本合同，而无需承担任何责任。合同终止后，甲方有权委托第三方执行该计划。</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12.2．在下列情况下，甲方可以立即终止本合同而无需承担责任，且甲方有权不支付剩余服务费：</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（l）乙方违反其在本合同项下的义务，且在收到甲方书面通知后未能立即予以纠正；</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（2）出现一次以上（含）本合同第十一条违约责任相关情形的及其他乙方违约情形。</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乙方违约的，甲方有权要求乙方承担维权产生的全部费用，包括但不限于律师费、财产保全担保费及诉讼费。</w:t>
      </w:r>
    </w:p>
    <w:p>
      <w:pPr>
        <w:snapToGrid w:val="0"/>
        <w:spacing w:line="360" w:lineRule="auto"/>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12.3．在本合同解除、终止或届满后，乙方应当提供合理协助以保证该服务能够平稳地过渡到甲方或甲方指定的第三方，而不会导致服务的中断，乙方不配合甲方导致服务中断的，甲方有权要求乙方承担相当于合同款30%的违约金。为实现本条款的目的，“合理的协助”一词包括但不限于下列事项的交付：</w:t>
      </w:r>
    </w:p>
    <w:p>
      <w:pPr>
        <w:snapToGrid w:val="0"/>
        <w:spacing w:line="360" w:lineRule="auto"/>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（1）所有设计、方案、报告和其他工作成果，无论是否已经完成；</w:t>
      </w:r>
    </w:p>
    <w:p>
      <w:pPr>
        <w:snapToGrid w:val="0"/>
        <w:spacing w:line="360" w:lineRule="auto"/>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（2）其他任何甲方根据本合同已予以支付费用的资源；</w:t>
      </w:r>
    </w:p>
    <w:p>
      <w:pPr>
        <w:snapToGrid w:val="0"/>
        <w:spacing w:line="360" w:lineRule="auto"/>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（3）其他属于甲方所有的材料、物品等。</w:t>
      </w:r>
    </w:p>
    <w:p>
      <w:pPr>
        <w:snapToGrid w:val="0"/>
        <w:outlineLvl w:val="0"/>
        <w:rPr>
          <w:rFonts w:hint="eastAsia" w:ascii="仿宋" w:hAnsi="仿宋" w:eastAsia="仿宋" w:cs="仿宋"/>
          <w:sz w:val="24"/>
          <w:highlight w:val="none"/>
        </w:rPr>
      </w:pPr>
    </w:p>
    <w:p>
      <w:p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第十三条 争议解决及合同有效性</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13.1甲乙双方对本合同产生争议时，双方应友好磋商解决，友好磋商未果，可向甲方所在地的法院提起诉讼。</w:t>
      </w:r>
    </w:p>
    <w:p>
      <w:pPr>
        <w:snapToGrid w:val="0"/>
        <w:spacing w:before="156" w:beforeLines="50" w:after="156" w:afterLines="5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13.2本合同及附件一式肆份。甲方执贰份，乙方执贰份，自双方签署后生效。</w:t>
      </w:r>
    </w:p>
    <w:p>
      <w:pPr>
        <w:numPr>
          <w:ilvl w:val="0"/>
          <w:numId w:val="7"/>
        </w:numPr>
        <w:snapToGrid w:val="0"/>
        <w:spacing w:before="156" w:beforeLines="50" w:after="156" w:afterLines="50"/>
        <w:rPr>
          <w:rFonts w:hint="eastAsia" w:ascii="仿宋" w:hAnsi="仿宋" w:eastAsia="仿宋" w:cs="仿宋"/>
          <w:b/>
          <w:sz w:val="24"/>
          <w:highlight w:val="none"/>
        </w:rPr>
      </w:pPr>
      <w:r>
        <w:rPr>
          <w:rFonts w:hint="eastAsia" w:ascii="仿宋" w:hAnsi="仿宋" w:eastAsia="仿宋" w:cs="仿宋"/>
          <w:b/>
          <w:sz w:val="24"/>
          <w:highlight w:val="none"/>
        </w:rPr>
        <w:t>合同附件</w:t>
      </w:r>
    </w:p>
    <w:p>
      <w:pPr>
        <w:numPr>
          <w:ilvl w:val="255"/>
          <w:numId w:val="0"/>
        </w:numPr>
        <w:snapToGrid w:val="0"/>
        <w:spacing w:before="156" w:beforeLines="50" w:after="156" w:afterLines="50"/>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14.1 附件1：2026年度城享慧商业会员系统建设与运营服务需求清单</w:t>
      </w:r>
    </w:p>
    <w:p>
      <w:pPr>
        <w:numPr>
          <w:ilvl w:val="255"/>
          <w:numId w:val="0"/>
        </w:numPr>
        <w:snapToGrid w:val="0"/>
        <w:spacing w:before="156" w:beforeLines="50" w:after="156" w:afterLines="50"/>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14.2 附件2：合同验收表</w:t>
      </w:r>
    </w:p>
    <w:p>
      <w:pPr>
        <w:numPr>
          <w:ilvl w:val="255"/>
          <w:numId w:val="0"/>
        </w:numPr>
        <w:snapToGrid w:val="0"/>
        <w:spacing w:before="156" w:beforeLines="50" w:after="156" w:afterLines="50"/>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14.3 附件3：廉洁协议</w:t>
      </w:r>
    </w:p>
    <w:p>
      <w:pPr>
        <w:snapToGrid w:val="0"/>
        <w:spacing w:before="156" w:beforeLines="50" w:after="156" w:afterLines="50"/>
        <w:ind w:firstLine="480" w:firstLineChars="200"/>
        <w:rPr>
          <w:rFonts w:hint="eastAsia" w:ascii="仿宋" w:hAnsi="仿宋" w:eastAsia="仿宋" w:cs="仿宋"/>
          <w:sz w:val="24"/>
          <w:highlight w:val="none"/>
        </w:rPr>
      </w:pPr>
    </w:p>
    <w:p>
      <w:pPr>
        <w:snapToGrid w:val="0"/>
        <w:spacing w:before="156" w:beforeLines="50" w:after="156" w:afterLines="5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（以下无正文）</w:t>
      </w:r>
    </w:p>
    <w:p>
      <w:pPr>
        <w:spacing w:line="400" w:lineRule="exact"/>
        <w:ind w:left="420"/>
        <w:rPr>
          <w:rFonts w:hint="eastAsia" w:ascii="仿宋" w:hAnsi="仿宋" w:eastAsia="仿宋" w:cs="仿宋"/>
          <w:b/>
          <w:bCs/>
          <w:szCs w:val="21"/>
          <w:highlight w:val="none"/>
        </w:rPr>
      </w:pPr>
    </w:p>
    <w:p>
      <w:pPr>
        <w:spacing w:line="400" w:lineRule="exact"/>
        <w:ind w:left="420"/>
        <w:rPr>
          <w:rFonts w:hint="eastAsia" w:ascii="仿宋" w:hAnsi="仿宋" w:eastAsia="仿宋" w:cs="仿宋"/>
          <w:b/>
          <w:bCs/>
          <w:szCs w:val="21"/>
          <w:highlight w:val="none"/>
        </w:rPr>
      </w:pPr>
    </w:p>
    <w:p>
      <w:pPr>
        <w:spacing w:line="400" w:lineRule="exact"/>
        <w:ind w:left="420"/>
        <w:rPr>
          <w:rFonts w:hint="eastAsia" w:ascii="仿宋" w:hAnsi="仿宋" w:eastAsia="仿宋" w:cs="仿宋"/>
          <w:b/>
          <w:bCs/>
          <w:szCs w:val="21"/>
          <w:highlight w:val="none"/>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4"/>
        <w:gridCol w:w="4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264" w:type="dxa"/>
          </w:tcPr>
          <w:p>
            <w:pPr>
              <w:spacing w:line="400" w:lineRule="exact"/>
              <w:rPr>
                <w:rFonts w:hint="eastAsia" w:ascii="仿宋" w:hAnsi="仿宋" w:eastAsia="仿宋" w:cs="仿宋"/>
                <w:bCs/>
                <w:sz w:val="22"/>
                <w:highlight w:val="none"/>
              </w:rPr>
            </w:pPr>
            <w:r>
              <w:rPr>
                <w:rFonts w:hint="eastAsia" w:ascii="仿宋" w:hAnsi="仿宋" w:eastAsia="仿宋" w:cs="仿宋"/>
                <w:bCs/>
                <w:sz w:val="22"/>
                <w:highlight w:val="none"/>
              </w:rPr>
              <w:t>甲方：</w:t>
            </w:r>
          </w:p>
        </w:tc>
        <w:tc>
          <w:tcPr>
            <w:tcW w:w="4264" w:type="dxa"/>
          </w:tcPr>
          <w:p>
            <w:pPr>
              <w:spacing w:line="400" w:lineRule="exact"/>
              <w:rPr>
                <w:rFonts w:hint="eastAsia" w:ascii="仿宋" w:hAnsi="仿宋" w:eastAsia="仿宋" w:cs="仿宋"/>
                <w:bCs/>
                <w:sz w:val="22"/>
                <w:highlight w:val="none"/>
              </w:rPr>
            </w:pPr>
            <w:r>
              <w:rPr>
                <w:rFonts w:hint="eastAsia" w:ascii="仿宋" w:hAnsi="仿宋" w:eastAsia="仿宋" w:cs="仿宋"/>
                <w:bCs/>
                <w:sz w:val="22"/>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264" w:type="dxa"/>
          </w:tcPr>
          <w:p>
            <w:pPr>
              <w:spacing w:line="400" w:lineRule="exact"/>
              <w:rPr>
                <w:rFonts w:hint="eastAsia" w:ascii="仿宋" w:hAnsi="仿宋" w:eastAsia="仿宋" w:cs="仿宋"/>
                <w:bCs/>
                <w:sz w:val="22"/>
                <w:highlight w:val="none"/>
              </w:rPr>
            </w:pPr>
            <w:r>
              <w:rPr>
                <w:rFonts w:hint="eastAsia" w:ascii="仿宋" w:hAnsi="仿宋" w:eastAsia="仿宋" w:cs="仿宋"/>
                <w:bCs/>
                <w:sz w:val="22"/>
                <w:highlight w:val="none"/>
              </w:rPr>
              <w:t>负责人或授权代表：</w:t>
            </w:r>
          </w:p>
        </w:tc>
        <w:tc>
          <w:tcPr>
            <w:tcW w:w="4264" w:type="dxa"/>
          </w:tcPr>
          <w:p>
            <w:pPr>
              <w:spacing w:line="400" w:lineRule="exact"/>
              <w:rPr>
                <w:rFonts w:hint="eastAsia" w:ascii="仿宋" w:hAnsi="仿宋" w:eastAsia="仿宋" w:cs="仿宋"/>
                <w:bCs/>
                <w:sz w:val="22"/>
                <w:highlight w:val="none"/>
              </w:rPr>
            </w:pPr>
            <w:r>
              <w:rPr>
                <w:rFonts w:hint="eastAsia" w:ascii="仿宋" w:hAnsi="仿宋" w:eastAsia="仿宋" w:cs="仿宋"/>
                <w:bCs/>
                <w:sz w:val="22"/>
                <w:highlight w:val="none"/>
              </w:rPr>
              <w:t>法定代表人或授权代表：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264" w:type="dxa"/>
          </w:tcPr>
          <w:p>
            <w:pPr>
              <w:spacing w:line="400" w:lineRule="exact"/>
              <w:rPr>
                <w:rFonts w:hint="eastAsia" w:ascii="仿宋" w:hAnsi="仿宋" w:eastAsia="仿宋" w:cs="仿宋"/>
                <w:bCs/>
                <w:sz w:val="22"/>
                <w:highlight w:val="none"/>
              </w:rPr>
            </w:pPr>
            <w:r>
              <w:rPr>
                <w:rFonts w:hint="eastAsia" w:ascii="仿宋" w:hAnsi="仿宋" w:eastAsia="仿宋" w:cs="仿宋"/>
                <w:bCs/>
                <w:sz w:val="22"/>
                <w:highlight w:val="none"/>
              </w:rPr>
              <w:t>签约日期：2026年   月   日</w:t>
            </w:r>
          </w:p>
        </w:tc>
        <w:tc>
          <w:tcPr>
            <w:tcW w:w="4264" w:type="dxa"/>
          </w:tcPr>
          <w:p>
            <w:pPr>
              <w:spacing w:line="400" w:lineRule="exact"/>
              <w:rPr>
                <w:rFonts w:hint="eastAsia" w:ascii="仿宋" w:hAnsi="仿宋" w:eastAsia="仿宋" w:cs="仿宋"/>
                <w:bCs/>
                <w:sz w:val="22"/>
                <w:highlight w:val="none"/>
              </w:rPr>
            </w:pPr>
            <w:r>
              <w:rPr>
                <w:rFonts w:hint="eastAsia" w:ascii="仿宋" w:hAnsi="仿宋" w:eastAsia="仿宋" w:cs="仿宋"/>
                <w:bCs/>
                <w:sz w:val="22"/>
                <w:highlight w:val="none"/>
              </w:rPr>
              <w:t>签约日期：2026年  月   日</w:t>
            </w:r>
          </w:p>
        </w:tc>
      </w:tr>
    </w:tbl>
    <w:p>
      <w:pPr>
        <w:spacing w:line="400" w:lineRule="exact"/>
        <w:rPr>
          <w:rFonts w:hint="eastAsia" w:ascii="仿宋" w:hAnsi="仿宋" w:eastAsia="仿宋" w:cs="仿宋"/>
          <w:bCs/>
          <w:szCs w:val="21"/>
          <w:highlight w:val="none"/>
        </w:rPr>
      </w:pPr>
    </w:p>
    <w:p>
      <w:pPr>
        <w:spacing w:line="400" w:lineRule="exact"/>
        <w:rPr>
          <w:rFonts w:hint="eastAsia" w:ascii="仿宋" w:hAnsi="仿宋" w:eastAsia="仿宋" w:cs="仿宋"/>
          <w:bCs/>
          <w:szCs w:val="21"/>
          <w:highlight w:val="none"/>
        </w:rPr>
      </w:pPr>
    </w:p>
    <w:p>
      <w:pPr>
        <w:spacing w:line="400" w:lineRule="exact"/>
        <w:ind w:left="5520" w:hanging="5520" w:hangingChars="230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pStyle w:val="15"/>
        <w:rPr>
          <w:rFonts w:hint="eastAsia" w:ascii="仿宋" w:hAnsi="仿宋" w:eastAsia="仿宋" w:cs="仿宋"/>
          <w:sz w:val="24"/>
          <w:szCs w:val="24"/>
          <w:highlight w:val="none"/>
        </w:rPr>
      </w:pPr>
    </w:p>
    <w:p>
      <w:pPr>
        <w:spacing w:line="400" w:lineRule="exact"/>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400" w:lineRule="exact"/>
        <w:rPr>
          <w:rFonts w:hint="eastAsia" w:ascii="仿宋" w:hAnsi="仿宋" w:eastAsia="仿宋" w:cs="仿宋"/>
          <w:bCs/>
          <w:sz w:val="24"/>
          <w:highlight w:val="none"/>
        </w:rPr>
      </w:pPr>
    </w:p>
    <w:p>
      <w:pPr>
        <w:widowControl/>
        <w:jc w:val="left"/>
        <w:rPr>
          <w:rFonts w:hint="eastAsia" w:ascii="仿宋" w:hAnsi="仿宋" w:eastAsia="仿宋" w:cs="仿宋"/>
          <w:b/>
          <w:sz w:val="28"/>
          <w:szCs w:val="28"/>
          <w:highlight w:val="none"/>
        </w:rPr>
        <w:sectPr>
          <w:footerReference r:id="rId14" w:type="default"/>
          <w:pgSz w:w="11906" w:h="16838"/>
          <w:pgMar w:top="1440" w:right="1797" w:bottom="1091" w:left="1797" w:header="851" w:footer="992" w:gutter="0"/>
          <w:cols w:space="720" w:num="1"/>
          <w:docGrid w:type="lines" w:linePitch="312" w:charSpace="0"/>
        </w:sectPr>
      </w:pPr>
      <w:r>
        <w:rPr>
          <w:rFonts w:hint="eastAsia" w:ascii="仿宋" w:hAnsi="仿宋" w:eastAsia="仿宋" w:cs="仿宋"/>
          <w:b/>
          <w:sz w:val="28"/>
          <w:szCs w:val="28"/>
          <w:highlight w:val="none"/>
        </w:rPr>
        <w:br w:type="page"/>
      </w:r>
    </w:p>
    <w:p>
      <w:pPr>
        <w:pStyle w:val="2"/>
        <w:rPr>
          <w:rFonts w:hint="eastAsia" w:ascii="仿宋" w:hAnsi="仿宋" w:eastAsia="仿宋" w:cs="仿宋"/>
          <w:b/>
          <w:sz w:val="28"/>
          <w:szCs w:val="28"/>
          <w:highlight w:val="none"/>
        </w:rPr>
      </w:pPr>
      <w:r>
        <w:rPr>
          <w:rFonts w:hint="eastAsia" w:ascii="仿宋" w:hAnsi="仿宋" w:eastAsia="仿宋" w:cs="仿宋"/>
          <w:b/>
          <w:sz w:val="28"/>
          <w:szCs w:val="28"/>
          <w:highlight w:val="none"/>
        </w:rPr>
        <w:t>附件1：会员系统建设功能清单</w:t>
      </w:r>
    </w:p>
    <w:tbl>
      <w:tblPr>
        <w:tblStyle w:val="27"/>
        <w:tblW w:w="14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1"/>
        <w:gridCol w:w="387"/>
        <w:gridCol w:w="804"/>
        <w:gridCol w:w="5430"/>
        <w:gridCol w:w="661"/>
        <w:gridCol w:w="661"/>
        <w:gridCol w:w="25"/>
        <w:gridCol w:w="582"/>
        <w:gridCol w:w="8"/>
        <w:gridCol w:w="831"/>
        <w:gridCol w:w="847"/>
        <w:gridCol w:w="10"/>
        <w:gridCol w:w="893"/>
        <w:gridCol w:w="8"/>
        <w:gridCol w:w="982"/>
        <w:gridCol w:w="867"/>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14322"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36"/>
                <w:szCs w:val="36"/>
                <w:highlight w:val="none"/>
                <w:u w:val="none"/>
              </w:rPr>
            </w:pPr>
            <w:r>
              <w:rPr>
                <w:rFonts w:hint="eastAsia" w:ascii="仿宋" w:hAnsi="仿宋" w:eastAsia="仿宋" w:cs="仿宋"/>
                <w:b/>
                <w:i w:val="0"/>
                <w:color w:val="000000"/>
                <w:kern w:val="0"/>
                <w:sz w:val="36"/>
                <w:szCs w:val="36"/>
                <w:highlight w:val="none"/>
                <w:u w:val="none"/>
                <w:lang w:val="en-US" w:eastAsia="zh-CN" w:bidi="ar"/>
              </w:rPr>
              <w:t>2026年度城享慧商业会员系统建设与运营服务报价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8219" w:type="dxa"/>
            <w:gridSpan w:val="7"/>
            <w:tcBorders>
              <w:top w:val="single" w:color="000000" w:sz="4" w:space="0"/>
              <w:left w:val="single" w:color="000000" w:sz="4" w:space="0"/>
              <w:bottom w:val="single" w:color="000000" w:sz="4" w:space="0"/>
              <w:right w:val="single" w:color="000000" w:sz="4" w:space="0"/>
            </w:tcBorders>
            <w:shd w:val="clear" w:color="auto" w:fill="FCE4D3"/>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功能/服务说明</w:t>
            </w:r>
          </w:p>
        </w:tc>
        <w:tc>
          <w:tcPr>
            <w:tcW w:w="6103" w:type="dxa"/>
            <w:gridSpan w:val="10"/>
            <w:tcBorders>
              <w:top w:val="single" w:color="000000" w:sz="4" w:space="0"/>
              <w:left w:val="single" w:color="000000" w:sz="4" w:space="0"/>
              <w:bottom w:val="single" w:color="000000" w:sz="4" w:space="0"/>
              <w:right w:val="single" w:color="000000" w:sz="4" w:space="0"/>
            </w:tcBorders>
            <w:shd w:val="clear" w:color="auto" w:fill="FCE4D3"/>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序号</w:t>
            </w:r>
          </w:p>
        </w:tc>
        <w:tc>
          <w:tcPr>
            <w:tcW w:w="38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功能分类</w:t>
            </w:r>
          </w:p>
        </w:tc>
        <w:tc>
          <w:tcPr>
            <w:tcW w:w="80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w:t>
            </w:r>
          </w:p>
        </w:tc>
        <w:tc>
          <w:tcPr>
            <w:tcW w:w="543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功能说明</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单位</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总部</w:t>
            </w:r>
          </w:p>
        </w:tc>
        <w:tc>
          <w:tcPr>
            <w:tcW w:w="831"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花城汇</w:t>
            </w:r>
          </w:p>
        </w:tc>
        <w:tc>
          <w:tcPr>
            <w:tcW w:w="84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流花中心</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/城壹汇流花</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天河</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新天地</w:t>
            </w:r>
          </w:p>
        </w:tc>
        <w:tc>
          <w:tcPr>
            <w:tcW w:w="982"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城壹汇</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北京路</w:t>
            </w:r>
          </w:p>
        </w:tc>
        <w:tc>
          <w:tcPr>
            <w:tcW w:w="86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南站</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新天地</w:t>
            </w:r>
          </w:p>
        </w:tc>
        <w:tc>
          <w:tcPr>
            <w:tcW w:w="1075"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花果山</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后端功能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会员注册&amp;登录</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支持用户手机号快捷登录，对接城享慧原系统注册接口，实现数据统一留存。</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会员积分&amp;优惠券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支持会员积分数量、优惠券状态展示，对接城享慧原系统积分及优惠券接口，实现数据统一留存。每个ID兑换后N天不使用优惠券失效，积分自动退回。</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会员信息&amp;手册</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支持会员线上查看个人信息，编辑个人信息，包括会员头像、昵称、性别、生日。</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首页Banner轮播</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支持动态展示banner轮播广告，匹配后台配置图片及链接，实现小程序跳转、推文跳转等方式。</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5</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品牌导览</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支持入驻品牌信息展示，含门店图、电话及简介等。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支持上架商品，包含实物商品、优惠券、停车券、线下自提商品等。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停车缴费</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支持链接花城汇、流花中心等项目停车缴费系统，实现跳转缴费。</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无感积分（支付宝&amp;微信）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支持开通微信/支付宝无感积分，用户在已开通的商户消费，支持积分自动到账。</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小票积分（拍照积分）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支持用户拍照上传，人工审核后向会员账号派发积分。</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签到积分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支持用户每日签到获积分奖励，支持常规签到（每日签到获得固定积分），与递增型签到（连续签到获得递增积分奖励，支持设置递增的积分奖励上限）</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活动报名</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支持线上/线下开展DIY活动或其他活动，用户通过报名参与。</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项目介绍</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支持项目写字楼详情静态展示，含轮播图、面积、楼盘信息、亮点、导航地址等，并提供分享、预约、咨询等服务。</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场地租赁</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支持上传场地信息静态介绍，含场地轮播图、配置及介绍、门店导航地址，并支持设置添加预约联系方式。</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14</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微信客服（或企微客服）</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支持接入微信客服，方便用户咨询客服。可根据项目需要替换为各自项目企微客服。</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15</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开宝箱抽奖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次（可设置）抽奖机会，点击宝箱即可进行抽奖，可设置通过分享海报增加抽奖次数。</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扭蛋机抽奖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次（可设置）扭蛋机会，点击扭蛋即可进行抽奖，可设置通过分享海报增加抽奖次数。</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九宫格抽奖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次（可设置）抽奖机会，点击开始即可进行抽奖，可设置通过分享海报增加抽奖次数。</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积分红包活动（企微）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积分红包可用于企业的企微社群内进行发放类似微信群红包，发出为随机金额的积分。可批量根据社群人数自动配额生成等比的积分红包，可限制领取用户处于指定群。</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幸运集卡活动</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用户领卡后获得抽奖卡号，号码将自动参与每期的抽奖，同时邀请好友参与活动，好友领号后，将会与用户自动绑定好友关系，共享好友的幸运号，好友中奖，邀请者也会中奖。</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消费达标并成功积分可抽奖</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支持对接会员系统会员消费数据，实现对会员消费金额的判断，支持按照活动需要配置指定金额，消费达到指定金额即可抽奖，奖品支持配置。（以微信无感积分/支付宝无感积分的订单为准）。</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定向派发优惠券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基于会员手机号，支持向特定人群精准派发优惠券。</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微信订阅通知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支持用户订阅通知服务，后续如抽奖提醒、活动开始、活动中奖、小票审核、预约结果等均可获通知，需城享慧系统支持。</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停车优惠券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支持上线不同等级/积分额度/时长的停车优惠券，基于停车缴费系统功能。</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24</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积分抵扣停车费</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基于城享慧已有功能，实现直接抵扣积分即可出场，基于停车缴费系统功能。</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25</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项目需求定制整体前端页面，在各项目统一整体页面布局的基础上根据项目需求设计不同的配图，匹配城投商管品牌调性及各项目需求。设计包括小程序首页、小程序栏目页、小程序个人页等小程序所有页面。</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前端页面开发</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根据项目前端设计稿进行前端页面开发还原，包括banner轮播效果、活动展示效果、UGC呈现效果等。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27</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接口对接</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注册接口对接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优先对接城享慧原系统注册接口，实现各项目注册数据统一、会员身份统一等。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积分接口对接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优先对接城享慧原系统积分接口，实现各项目积分数据统一、动态变化数据呈现。</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优惠券接口对接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优先对接城享慧系统原优惠券接口，实现各项目会员活动派发城享慧优惠券。</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项目停车系统对接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对接项目停车系统，实现会员停车缴费跳转（同步支持花城汇停车券抵扣、城享慧原有积分抵扣功能，需原停车系统功能支持）。</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项目企微对接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对接项目企微，实现实现会员是否添加企微的判断，并应用到会员营销活动。</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项目公众号对接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对接项目公众号，同步公众号推文封面、标题等信息，实现项目公众号资讯动态更新展示。</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33</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系统升级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系统升级覆盖子项目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针对系统已具备功能进行升级，对接城享慧多个接口，实现各子项目使用功能正常（包括积分商城、小票积分、无感积分等）。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34</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管理后台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支持会员状态查询，包括会员等级、会员当前积分、会员积分变动记录等。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35</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支持对会员优惠券进行后台管理，包括查询、配置、修改，包括停车券、商家券、礼品券等券类型。</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36</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品牌管理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支持对入驻品牌进行后台管理，包括编辑品牌信息、品牌上下架展示状态等。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到访管理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支持对到访客户进行后台管理，包括到访信息查询、到访审批等。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小票审核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支持对会员上传的小票进行后台审核，包括小票状态、支付记录状态、审核结果反馈等。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39</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报名审核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支持对会员报名的活动进行后台审核，包括报名状态、审核结果反馈等。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40</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广告配置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支持对线上小程序特定广告位置进行配置，包括首页banner轮播、弹窗等。</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41</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活动配置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支持对线上小程序活动进行配置，包括积分活动（积分秒杀、拍卖、夺宝等类型）、互动活动（抽奖、任务等类型），需会员系统具备对应活动功能。</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42</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权限账号管理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支持隔离各商场间的组织权限和数据权限，保护各板块保护板块核心数据资产，防止跨部门人员随意访问用户隐私数据，降低数据泄露风险。</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821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会员系统建设服务各项目小计含税报价</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821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会员系统建设服务各项目合计含税报价</w:t>
            </w:r>
          </w:p>
        </w:tc>
        <w:tc>
          <w:tcPr>
            <w:tcW w:w="61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序号</w:t>
            </w:r>
          </w:p>
        </w:tc>
        <w:tc>
          <w:tcPr>
            <w:tcW w:w="38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工作名称</w:t>
            </w:r>
          </w:p>
        </w:tc>
        <w:tc>
          <w:tcPr>
            <w:tcW w:w="80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概述</w:t>
            </w:r>
          </w:p>
        </w:tc>
        <w:tc>
          <w:tcPr>
            <w:tcW w:w="543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详述</w:t>
            </w:r>
          </w:p>
        </w:tc>
        <w:tc>
          <w:tcPr>
            <w:tcW w:w="66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单位</w:t>
            </w:r>
          </w:p>
        </w:tc>
        <w:tc>
          <w:tcPr>
            <w:tcW w:w="66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单价</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总部</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花城汇</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流花中心/城壹汇流花</w:t>
            </w:r>
          </w:p>
        </w:tc>
        <w:tc>
          <w:tcPr>
            <w:tcW w:w="893"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天河新天地</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城壹汇北京路</w:t>
            </w:r>
          </w:p>
        </w:tc>
        <w:tc>
          <w:tcPr>
            <w:tcW w:w="86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南站新天地</w:t>
            </w:r>
          </w:p>
        </w:tc>
        <w:tc>
          <w:tcPr>
            <w:tcW w:w="1075"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花果山小镇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运营策略</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每月运营策略/指标</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配合总部及各项目进行会员价值体系的设计，设定/根据会员运营的价值评价指标，制定运营策略与目标指标。并根据项目特点输出会员运营指标的指标拆解与达成策略、手段的设计等策略工作。</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3"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2</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互动活动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互动活动（设计个性化）</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在已开发过的小程序活动模板（包括宝箱抽奖、大转盘抽奖、摇一摇抽奖、扭蛋机抽奖、积分竞猜、积分拍卖、积分夺宝等）中，个性化更换皮肤设计不改变游戏规则及活动逻辑：</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活动主题：活动主题、活动奖品、活动规则玩法等；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互动活动：活动页面设计，包括活动首页、中奖页、奖品图等（按需）；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 活动宣传线上物料设计：包括活动banner（按需）、活动弹窗设计（按需）；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①活动相关页面的配置：包括产品上架&amp;活动页面配置、奖品派发、活动banner&amp;弹窗配置等；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②活动过程数据统计：包括活动兑换人数、兑换核销状态、库存更新等。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*包含活动宣传相关线上物料设计及配置，包含H5活动工具复用，每次1个活动。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7"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3</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互动活动（使用通用设计）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在已开发上线的小程序活动模板（包括宝箱抽奖、大转盘抽奖、摇一摇抽奖、扭蛋机抽奖、积分竞猜、积分拍卖、积分夺宝等）中，使用通用设计及活动逻辑：</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活动主题：活动主题、活动奖品、活动规则玩法等；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二、活动设计延展与宣传：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互动活动：活动页面设计延展，包括活动首页、中奖页、奖品图等（不修改通用设计，仅修改奖品图等信息）；</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 活动宣传线上物料设计：包括活动banner（按需）、活动弹窗设计（按需），（不修改通用设计，仅修改奖品图等信息）；</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①活动相关页面的配置：包括产品上架&amp;活动页面配置、奖品派发、活动banner&amp;弹窗配置等；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②活动过程数据统计：包括活动兑换人数、兑换核销状态、库存更新等。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*包含活动宣传相关线上宣传物料延展及配置，包含H5活动工具复用，每次1个活动。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4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4</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线下活动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线下活动预约活动</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围绕线下现场活动，配置线上预约活动，引导用户报名参加：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一、信息搜集与配置上线：</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搜集整理报名信息、所需积分、活动时间、活动封面图等参与条件内容；</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配置上线，调整活动报名详情上线等执行工作；</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①活动封面图、活动banner、弹窗等素材设计（不含长图、海报等）；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②活动订阅通知配置及触达，及时通知报名用户参与活动；</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对活动预约用户进行信息收集管理、联系，并提供报名/参与情况。</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5</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年度活动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会员节/会员日</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围绕商场大事件或品牌营销需求，策划开展主题系列活动，推进活动落地，实现活动目标：</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活动主题、活动机制策划，活动奖品、活动规则玩法等；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①活动&amp;游戏页面设计：包括活动首页设计、活动抽奖页面设计（按需）、活动海报设计（按需）；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①活动宣传线上物料设计：包括活动banner（按需）、活动弹窗设计（按需）；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①活动相关页面的配置：包括活动&amp;游戏页面配置、活动中奖率调整、活动banner&amp;弹窗配置等；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②活动过程数据统计：包括活动参与人数、裂变人数、抽奖人数、中奖人数等。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*包含活动宣传首页设计及配置，不包含H5活动工具开发。</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4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6</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线下物料设计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线下会员物料设计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针对会员系统运营需求对展出的线下物料进行主题策划及设计更新，包括积分兑换、停车优惠、会员等级、无感积分等方面的宣传物料，每套物料包含不超过10张不同内容或尺寸海报/素材设计（可多项目复用）。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7</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线下会员物料设计延展</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使用已完成的设计文件，进行线下物料的宣传物料尺寸延展（可小幅改动文字等内容），每套物料包含不超过10张不同内容或尺寸海报/素材设计。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1"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8</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线上物料设计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线上会员物料设计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按需进行其他线上物料设计工作，包括小程序首页banner、弹窗等（具体按需），每套物料包含不超过3个不同尺寸的素材设计。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备注：互动活动、线下活动、年度活动等会员活动中已包含的无需计算该项数量。</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9</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线上主题设计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会员系统UI设计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按需设计周年庆、新年等主题小程序页面UI，包括小程序首页ICON、金刚区、banner、弹窗、我的页面等整套页面的设计更新。</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小程序客服</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客服咨询处理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法定工作日每天8小时，9:00-17:00工作时间内（平均30分钟内）响应用户的咨询。服务内容：处理会员活动、会员订单、会员投诉等类型问题，并根据问题类型流转对应方处理，完成客户咨询解答。</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11</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会员信息管理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根据需求进行会员身份管理（注销等）、会员积分管理（增加扣减等）、会员优惠券管理（定向派发等）。</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12</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广告位管理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会员平台广告位上传与更新维护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根据需求对会员平台的广告位进行上下架与配置工作，包含每月不超过3张Banner设计。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13</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优惠券板块上传与更新维护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商场权益、商家权益等优惠券的上下架与配置工作，包括优惠券名称、有效期等内容，包含每月不超过5张优惠券小图设计。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2"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14</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积分商城板块上传与更新维护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在积分商城上传积分兑换产品并定期更新并根据需求进行的积分兑换的配置更新，包含素材图简单设计，每月不超过10款商品。</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备注：优惠券以兑换形式上架在积分商城无需另外计算优惠券配置次数。</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5"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15</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会员积分管理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消费积分审核/商圈积分补录处理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负责会员系统的用户消费积分审核/商圈积分补录工作处理。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16</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无感积分圈店</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无感积分店铺增加</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协助完成无感积分店铺圈店工作，包括项目现场商家沟通、后台积分配置等（以项目实际情况为准）。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1"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17</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数据分析管理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数据统计报告</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以月为单位，基于会员系统可查询的数据，输出会员系统相关数据的统计报告（Excel格式）：包括对整个会员系统各个功能进行数据收集统计分析（会员新增注册、新小程序访客、注册率等）；对小票积分、微信无感积分、支付宝无感积分等消费积分情况进行统计分析（消费人数、消费次数、消费金额等）；对会员活动相关数据进行汇总整理统计分析（活动参与人数、活动参与次数等）。</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4"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18</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运营总结报告</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阶段性会员运营总结报告，基于会员系统可查询的数据，全方位输出会员运营阶段性成果及后续运营计划（PPT格式）：</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数据统计分析（阶段总结）：包括对整个会员系统各个功能进行数据收集统计分析（会员新增注册、新小程序访客、注册率等）；对小票积分、微信无感积分、支付宝无感积分等消费积分情况进行统计分析（消费人数、消费次数、消费金额等）；对会员活动相关数据进行汇总整理统计分析（活动参与人数、活动参与次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②行业调研分享（调研总结）：对商业地产项目会员运营动态、活动进行调研，总结调研分享报告，指引后续运营计划制定。</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③后续运营计划（规划建议）：结合项目会员运营数据统计分析、行业调研分享制定后续运营计划，包括会员拉新、会员促活、会员转化消费等维度运营计划建议。</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2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19</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系统技术运维</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日常系统技术运维</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包括对会员信息统计、会员无感积分/小票积分、停车缴费、积分兑换、积分活动等功能的系统技术运维或沟通工作（与对应开发方）。</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821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会员代运营服务各项目小计含税报价（元）</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821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会员代运营服务各项目合计含税报价（元）</w:t>
            </w:r>
          </w:p>
        </w:tc>
        <w:tc>
          <w:tcPr>
            <w:tcW w:w="61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trPr>
        <w:tc>
          <w:tcPr>
            <w:tcW w:w="821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不含税总计（元）</w:t>
            </w:r>
          </w:p>
        </w:tc>
        <w:tc>
          <w:tcPr>
            <w:tcW w:w="6103"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821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仿宋" w:hAnsi="仿宋" w:eastAsia="仿宋" w:cs="仿宋"/>
                <w:b/>
                <w:i w:val="0"/>
                <w:color w:val="000000"/>
                <w:sz w:val="24"/>
                <w:szCs w:val="24"/>
                <w:highlight w:val="none"/>
                <w:u w:val="none"/>
                <w:lang w:val="en-US"/>
              </w:rPr>
            </w:pPr>
            <w:r>
              <w:rPr>
                <w:rFonts w:hint="eastAsia" w:ascii="仿宋" w:hAnsi="仿宋" w:eastAsia="仿宋" w:cs="仿宋"/>
                <w:b/>
                <w:i w:val="0"/>
                <w:color w:val="000000"/>
                <w:kern w:val="0"/>
                <w:sz w:val="24"/>
                <w:szCs w:val="24"/>
                <w:highlight w:val="none"/>
                <w:u w:val="none"/>
                <w:lang w:val="en-US" w:eastAsia="zh-CN" w:bidi="ar"/>
              </w:rPr>
              <w:t>含税总计（元）</w:t>
            </w:r>
          </w:p>
        </w:tc>
        <w:tc>
          <w:tcPr>
            <w:tcW w:w="6103"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highlight w:val="none"/>
                <w:u w:val="none"/>
              </w:rPr>
            </w:pPr>
          </w:p>
        </w:tc>
      </w:tr>
    </w:tbl>
    <w:p>
      <w:pPr>
        <w:pStyle w:val="3"/>
        <w:rPr>
          <w:highlight w:val="none"/>
        </w:rPr>
      </w:pPr>
    </w:p>
    <w:p>
      <w:pPr>
        <w:tabs>
          <w:tab w:val="left" w:pos="0"/>
        </w:tabs>
        <w:ind w:right="44" w:rightChars="21"/>
        <w:rPr>
          <w:rFonts w:hint="eastAsia" w:ascii="仿宋" w:hAnsi="仿宋" w:eastAsia="仿宋" w:cs="仿宋"/>
          <w:b/>
          <w:kern w:val="44"/>
          <w:sz w:val="32"/>
          <w:szCs w:val="32"/>
          <w:highlight w:val="none"/>
        </w:rPr>
      </w:pPr>
    </w:p>
    <w:p>
      <w:pPr>
        <w:rPr>
          <w:rFonts w:hint="eastAsia" w:ascii="仿宋" w:hAnsi="仿宋" w:eastAsia="仿宋" w:cs="仿宋"/>
          <w:bCs/>
          <w:sz w:val="24"/>
          <w:highlight w:val="none"/>
        </w:rPr>
        <w:sectPr>
          <w:pgSz w:w="16838" w:h="11906" w:orient="landscape"/>
          <w:pgMar w:top="1797" w:right="1440" w:bottom="1797" w:left="1091" w:header="851" w:footer="992" w:gutter="0"/>
          <w:cols w:space="720" w:num="1"/>
          <w:docGrid w:type="lines" w:linePitch="312" w:charSpace="0"/>
        </w:sectPr>
      </w:pPr>
      <w:r>
        <w:rPr>
          <w:rFonts w:hint="eastAsia" w:ascii="仿宋" w:hAnsi="仿宋" w:eastAsia="仿宋" w:cs="仿宋"/>
          <w:b/>
          <w:sz w:val="24"/>
          <w:highlight w:val="none"/>
        </w:rPr>
        <w:t>备注：</w:t>
      </w:r>
      <w:r>
        <w:rPr>
          <w:rFonts w:hint="eastAsia" w:ascii="仿宋" w:hAnsi="仿宋" w:eastAsia="仿宋" w:cs="仿宋"/>
          <w:bCs/>
          <w:sz w:val="24"/>
          <w:highlight w:val="none"/>
        </w:rPr>
        <w:t>本项目会员系统建设功能建设所需时间约为*个工作日。</w:t>
      </w:r>
    </w:p>
    <w:p>
      <w:pPr>
        <w:widowControl/>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附件2：合同验收表</w:t>
      </w:r>
    </w:p>
    <w:p>
      <w:pPr>
        <w:pBdr>
          <w:bottom w:val="thinThickLargeGap" w:color="auto" w:sz="6" w:space="10"/>
        </w:pBdr>
        <w:tabs>
          <w:tab w:val="center" w:pos="4153"/>
          <w:tab w:val="right" w:pos="8306"/>
        </w:tabs>
        <w:snapToGrid w:val="0"/>
        <w:spacing w:line="360" w:lineRule="auto"/>
        <w:jc w:val="center"/>
        <w:rPr>
          <w:rFonts w:hint="eastAsia" w:ascii="仿宋" w:hAnsi="仿宋" w:eastAsia="仿宋" w:cs="仿宋"/>
          <w:b/>
          <w:sz w:val="24"/>
          <w:szCs w:val="36"/>
          <w:highlight w:val="none"/>
          <w14:ligatures w14:val="standardContextual"/>
        </w:rPr>
      </w:pPr>
      <w:r>
        <w:rPr>
          <w:rFonts w:hint="eastAsia" w:ascii="仿宋" w:hAnsi="仿宋" w:eastAsia="仿宋" w:cs="仿宋"/>
          <w:b/>
          <w:sz w:val="24"/>
          <w:szCs w:val="36"/>
          <w:highlight w:val="none"/>
          <w14:ligatures w14:val="standardContextual"/>
        </w:rPr>
        <w:t>广州市城投资产经营管理有限公司</w:t>
      </w:r>
    </w:p>
    <w:p>
      <w:pPr>
        <w:pBdr>
          <w:bottom w:val="thinThickLargeGap" w:color="auto" w:sz="6" w:space="10"/>
        </w:pBdr>
        <w:tabs>
          <w:tab w:val="center" w:pos="4153"/>
          <w:tab w:val="right" w:pos="8306"/>
        </w:tabs>
        <w:snapToGrid w:val="0"/>
        <w:spacing w:line="360" w:lineRule="auto"/>
        <w:jc w:val="center"/>
        <w:rPr>
          <w:rFonts w:hint="eastAsia" w:ascii="仿宋" w:hAnsi="仿宋" w:eastAsia="仿宋" w:cs="仿宋"/>
          <w:b/>
          <w:sz w:val="24"/>
          <w:szCs w:val="36"/>
          <w:highlight w:val="none"/>
          <w14:ligatures w14:val="standardContextual"/>
        </w:rPr>
      </w:pPr>
      <w:r>
        <w:rPr>
          <w:rFonts w:hint="eastAsia" w:ascii="仿宋" w:hAnsi="仿宋" w:eastAsia="仿宋" w:cs="仿宋"/>
          <w:b/>
          <w:sz w:val="24"/>
          <w:szCs w:val="36"/>
          <w:highlight w:val="none"/>
          <w14:ligatures w14:val="standardContextual"/>
        </w:rPr>
        <w:t>合同验收表</w:t>
      </w:r>
    </w:p>
    <w:p>
      <w:pPr>
        <w:pBdr>
          <w:bottom w:val="thinThickLargeGap" w:color="auto" w:sz="6" w:space="10"/>
        </w:pBdr>
        <w:tabs>
          <w:tab w:val="center" w:pos="4153"/>
          <w:tab w:val="right" w:pos="8306"/>
        </w:tabs>
        <w:snapToGrid w:val="0"/>
        <w:spacing w:line="360" w:lineRule="auto"/>
        <w:jc w:val="center"/>
        <w:rPr>
          <w:rFonts w:hint="eastAsia" w:ascii="仿宋" w:hAnsi="仿宋" w:eastAsia="仿宋" w:cs="仿宋"/>
          <w:b/>
          <w:sz w:val="24"/>
          <w:szCs w:val="36"/>
          <w:highlight w:val="none"/>
          <w14:ligatures w14:val="standardContextual"/>
        </w:rPr>
      </w:pPr>
      <w:r>
        <w:rPr>
          <w:rFonts w:hint="eastAsia" w:ascii="仿宋" w:hAnsi="仿宋" w:eastAsia="仿宋" w:cs="仿宋"/>
          <w:sz w:val="16"/>
          <w:szCs w:val="15"/>
          <w:highlight w:val="none"/>
          <w14:ligatures w14:val="standardContextual"/>
        </w:rPr>
        <w:t>填写日期：     年 月 日</w:t>
      </w:r>
    </w:p>
    <w:p>
      <w:pPr>
        <w:spacing w:line="400" w:lineRule="exact"/>
        <w:rPr>
          <w:rFonts w:hint="eastAsia" w:ascii="仿宋" w:hAnsi="仿宋" w:eastAsia="仿宋" w:cs="仿宋"/>
          <w:bCs/>
          <w:szCs w:val="21"/>
          <w:highlight w:val="none"/>
          <w14:ligatures w14:val="standardContextual"/>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769"/>
        <w:gridCol w:w="825"/>
        <w:gridCol w:w="1181"/>
        <w:gridCol w:w="1375"/>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697" w:type="dxa"/>
            <w:gridSpan w:val="3"/>
          </w:tcPr>
          <w:p>
            <w:pP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 xml:space="preserve">合同名称：城享慧2026年度会员系统建设&amp;运营服务综合项目服务合同 </w:t>
            </w:r>
          </w:p>
        </w:tc>
        <w:tc>
          <w:tcPr>
            <w:tcW w:w="1181" w:type="dxa"/>
          </w:tcPr>
          <w:p>
            <w:pP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合同号</w:t>
            </w:r>
          </w:p>
        </w:tc>
        <w:tc>
          <w:tcPr>
            <w:tcW w:w="3001" w:type="dxa"/>
            <w:gridSpan w:val="2"/>
          </w:tcPr>
          <w:p>
            <w:pPr>
              <w:rPr>
                <w:rFonts w:hint="eastAsia" w:ascii="仿宋" w:hAnsi="仿宋" w:eastAsia="仿宋" w:cs="仿宋"/>
                <w:kern w:val="0"/>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03" w:type="dxa"/>
            <w:vMerge w:val="restart"/>
          </w:tcPr>
          <w:p>
            <w:pPr>
              <w:jc w:val="center"/>
              <w:rPr>
                <w:rFonts w:hint="eastAsia" w:ascii="仿宋" w:hAnsi="仿宋" w:eastAsia="仿宋" w:cs="仿宋"/>
                <w:kern w:val="0"/>
                <w:highlight w:val="none"/>
                <w14:ligatures w14:val="standardContextual"/>
              </w:rPr>
            </w:pPr>
          </w:p>
          <w:p>
            <w:pPr>
              <w:jc w:val="center"/>
              <w:rPr>
                <w:rFonts w:hint="eastAsia" w:ascii="仿宋" w:hAnsi="仿宋" w:eastAsia="仿宋" w:cs="仿宋"/>
                <w:kern w:val="0"/>
                <w:highlight w:val="none"/>
                <w14:ligatures w14:val="standardContextual"/>
              </w:rPr>
            </w:pPr>
            <w:r>
              <w:rPr>
                <w:rFonts w:hint="eastAsia" w:ascii="仿宋" w:hAnsi="仿宋" w:eastAsia="仿宋" w:cs="仿宋"/>
                <w:kern w:val="0"/>
                <w:highlight w:val="none"/>
                <w14:ligatures w14:val="standardContextual"/>
              </w:rPr>
              <w:t>验收项目（内容）</w:t>
            </w:r>
          </w:p>
        </w:tc>
        <w:tc>
          <w:tcPr>
            <w:tcW w:w="2594" w:type="dxa"/>
            <w:gridSpan w:val="2"/>
          </w:tcPr>
          <w:p>
            <w:pPr>
              <w:jc w:val="center"/>
              <w:rPr>
                <w:rFonts w:hint="eastAsia" w:ascii="仿宋" w:hAnsi="仿宋" w:eastAsia="仿宋" w:cs="仿宋"/>
                <w:kern w:val="0"/>
                <w:highlight w:val="none"/>
                <w14:ligatures w14:val="standardContextual"/>
              </w:rPr>
            </w:pPr>
            <w:r>
              <w:rPr>
                <w:rFonts w:hint="eastAsia" w:ascii="仿宋" w:hAnsi="仿宋" w:eastAsia="仿宋" w:cs="仿宋"/>
                <w:kern w:val="0"/>
                <w:highlight w:val="none"/>
                <w14:ligatures w14:val="standardContextual"/>
              </w:rPr>
              <w:t>名称</w:t>
            </w:r>
          </w:p>
        </w:tc>
        <w:tc>
          <w:tcPr>
            <w:tcW w:w="1181" w:type="dxa"/>
          </w:tcPr>
          <w:p>
            <w:pPr>
              <w:jc w:val="cente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数量</w:t>
            </w:r>
          </w:p>
        </w:tc>
        <w:tc>
          <w:tcPr>
            <w:tcW w:w="1375" w:type="dxa"/>
          </w:tcPr>
          <w:p>
            <w:pPr>
              <w:jc w:val="cente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价格（元）</w:t>
            </w:r>
          </w:p>
        </w:tc>
        <w:tc>
          <w:tcPr>
            <w:tcW w:w="1626" w:type="dxa"/>
          </w:tcPr>
          <w:p>
            <w:pPr>
              <w:jc w:val="cente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03" w:type="dxa"/>
            <w:vMerge w:val="continue"/>
          </w:tcPr>
          <w:p>
            <w:pPr>
              <w:jc w:val="center"/>
              <w:rPr>
                <w:rFonts w:hint="eastAsia" w:ascii="仿宋" w:hAnsi="仿宋" w:eastAsia="仿宋" w:cs="仿宋"/>
                <w:kern w:val="0"/>
                <w:highlight w:val="none"/>
                <w14:ligatures w14:val="standardContextual"/>
              </w:rPr>
            </w:pPr>
          </w:p>
        </w:tc>
        <w:tc>
          <w:tcPr>
            <w:tcW w:w="2594" w:type="dxa"/>
            <w:gridSpan w:val="2"/>
          </w:tcPr>
          <w:p>
            <w:pPr>
              <w:jc w:val="center"/>
              <w:rPr>
                <w:rFonts w:hint="eastAsia" w:ascii="仿宋" w:hAnsi="仿宋" w:eastAsia="仿宋" w:cs="仿宋"/>
                <w:kern w:val="0"/>
                <w:highlight w:val="none"/>
                <w14:ligatures w14:val="standardContextual"/>
              </w:rPr>
            </w:pPr>
          </w:p>
        </w:tc>
        <w:tc>
          <w:tcPr>
            <w:tcW w:w="1181" w:type="dxa"/>
          </w:tcPr>
          <w:p>
            <w:pPr>
              <w:jc w:val="center"/>
              <w:rPr>
                <w:rFonts w:hint="eastAsia" w:ascii="仿宋" w:hAnsi="仿宋" w:eastAsia="仿宋" w:cs="仿宋"/>
                <w:kern w:val="0"/>
                <w:highlight w:val="none"/>
                <w14:ligatures w14:val="standardContextual"/>
              </w:rPr>
            </w:pPr>
          </w:p>
        </w:tc>
        <w:tc>
          <w:tcPr>
            <w:tcW w:w="1375" w:type="dxa"/>
          </w:tcPr>
          <w:p>
            <w:pPr>
              <w:jc w:val="center"/>
              <w:rPr>
                <w:rFonts w:hint="eastAsia" w:ascii="仿宋" w:hAnsi="仿宋" w:eastAsia="仿宋" w:cs="仿宋"/>
                <w:highlight w:val="non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03" w:type="dxa"/>
            <w:vMerge w:val="continue"/>
          </w:tcPr>
          <w:p>
            <w:pPr>
              <w:jc w:val="center"/>
              <w:rPr>
                <w:rFonts w:hint="eastAsia" w:ascii="仿宋" w:hAnsi="仿宋" w:eastAsia="仿宋" w:cs="仿宋"/>
                <w:kern w:val="0"/>
                <w:highlight w:val="none"/>
                <w14:ligatures w14:val="standardContextual"/>
              </w:rPr>
            </w:pPr>
          </w:p>
        </w:tc>
        <w:tc>
          <w:tcPr>
            <w:tcW w:w="2594" w:type="dxa"/>
            <w:gridSpan w:val="2"/>
          </w:tcPr>
          <w:p>
            <w:pPr>
              <w:jc w:val="center"/>
              <w:rPr>
                <w:rFonts w:hint="eastAsia" w:ascii="仿宋" w:hAnsi="仿宋" w:eastAsia="仿宋" w:cs="仿宋"/>
                <w:kern w:val="0"/>
                <w:highlight w:val="none"/>
                <w14:ligatures w14:val="standardContextual"/>
              </w:rPr>
            </w:pPr>
          </w:p>
        </w:tc>
        <w:tc>
          <w:tcPr>
            <w:tcW w:w="1181" w:type="dxa"/>
          </w:tcPr>
          <w:p>
            <w:pPr>
              <w:jc w:val="center"/>
              <w:rPr>
                <w:rFonts w:hint="eastAsia" w:ascii="仿宋" w:hAnsi="仿宋" w:eastAsia="仿宋" w:cs="仿宋"/>
                <w:highlight w:val="none"/>
                <w14:ligatures w14:val="standardContextual"/>
              </w:rPr>
            </w:pPr>
          </w:p>
        </w:tc>
        <w:tc>
          <w:tcPr>
            <w:tcW w:w="1375" w:type="dxa"/>
          </w:tcPr>
          <w:p>
            <w:pPr>
              <w:jc w:val="center"/>
              <w:rPr>
                <w:rFonts w:hint="eastAsia" w:ascii="仿宋" w:hAnsi="仿宋" w:eastAsia="仿宋" w:cs="仿宋"/>
                <w:highlight w:val="non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03" w:type="dxa"/>
            <w:vMerge w:val="continue"/>
          </w:tcPr>
          <w:p>
            <w:pPr>
              <w:jc w:val="center"/>
              <w:rPr>
                <w:rFonts w:hint="eastAsia" w:ascii="仿宋" w:hAnsi="仿宋" w:eastAsia="仿宋" w:cs="仿宋"/>
                <w:kern w:val="0"/>
                <w:highlight w:val="none"/>
                <w14:ligatures w14:val="standardContextual"/>
              </w:rPr>
            </w:pPr>
          </w:p>
        </w:tc>
        <w:tc>
          <w:tcPr>
            <w:tcW w:w="2594" w:type="dxa"/>
            <w:gridSpan w:val="2"/>
          </w:tcPr>
          <w:p>
            <w:pPr>
              <w:jc w:val="center"/>
              <w:rPr>
                <w:rFonts w:hint="eastAsia" w:ascii="仿宋" w:hAnsi="仿宋" w:eastAsia="仿宋" w:cs="仿宋"/>
                <w:kern w:val="0"/>
                <w:highlight w:val="none"/>
                <w14:ligatures w14:val="standardContextual"/>
              </w:rPr>
            </w:pPr>
          </w:p>
        </w:tc>
        <w:tc>
          <w:tcPr>
            <w:tcW w:w="1181" w:type="dxa"/>
          </w:tcPr>
          <w:p>
            <w:pPr>
              <w:jc w:val="center"/>
              <w:rPr>
                <w:rFonts w:hint="eastAsia" w:ascii="仿宋" w:hAnsi="仿宋" w:eastAsia="仿宋" w:cs="仿宋"/>
                <w:kern w:val="0"/>
                <w:szCs w:val="21"/>
                <w:highlight w:val="none"/>
                <w14:ligatures w14:val="standardContextual"/>
              </w:rPr>
            </w:pPr>
          </w:p>
        </w:tc>
        <w:tc>
          <w:tcPr>
            <w:tcW w:w="1375" w:type="dxa"/>
          </w:tcPr>
          <w:p>
            <w:pPr>
              <w:jc w:val="center"/>
              <w:rPr>
                <w:rFonts w:hint="eastAsia" w:ascii="仿宋" w:hAnsi="仿宋" w:eastAsia="仿宋" w:cs="仿宋"/>
                <w:kern w:val="0"/>
                <w:szCs w:val="21"/>
                <w:highlight w:val="non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Merge w:val="continue"/>
          </w:tcPr>
          <w:p>
            <w:pPr>
              <w:rPr>
                <w:rFonts w:hint="eastAsia" w:ascii="仿宋" w:hAnsi="仿宋" w:eastAsia="仿宋" w:cs="仿宋"/>
                <w:highlight w:val="none"/>
                <w14:ligatures w14:val="standardContextual"/>
              </w:rPr>
            </w:pPr>
          </w:p>
        </w:tc>
        <w:tc>
          <w:tcPr>
            <w:tcW w:w="2594" w:type="dxa"/>
            <w:gridSpan w:val="2"/>
          </w:tcPr>
          <w:p>
            <w:pPr>
              <w:jc w:val="center"/>
              <w:rPr>
                <w:rFonts w:hint="eastAsia" w:ascii="仿宋" w:hAnsi="仿宋" w:eastAsia="仿宋" w:cs="仿宋"/>
                <w:kern w:val="0"/>
                <w:highlight w:val="none"/>
                <w14:ligatures w14:val="standardContextual"/>
              </w:rPr>
            </w:pPr>
          </w:p>
        </w:tc>
        <w:tc>
          <w:tcPr>
            <w:tcW w:w="1181" w:type="dxa"/>
          </w:tcPr>
          <w:p>
            <w:pPr>
              <w:jc w:val="center"/>
              <w:rPr>
                <w:rFonts w:hint="eastAsia" w:ascii="仿宋" w:hAnsi="仿宋" w:eastAsia="仿宋" w:cs="仿宋"/>
                <w:highlight w:val="none"/>
                <w14:ligatures w14:val="standardContextual"/>
              </w:rPr>
            </w:pPr>
          </w:p>
        </w:tc>
        <w:tc>
          <w:tcPr>
            <w:tcW w:w="1375" w:type="dxa"/>
          </w:tcPr>
          <w:p>
            <w:pPr>
              <w:jc w:val="center"/>
              <w:rPr>
                <w:rFonts w:hint="eastAsia" w:ascii="仿宋" w:hAnsi="仿宋" w:eastAsia="仿宋" w:cs="仿宋"/>
                <w:kern w:val="0"/>
                <w:highlight w:val="none"/>
                <w:u w:val="singl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3" w:type="dxa"/>
            <w:vMerge w:val="continue"/>
          </w:tcPr>
          <w:p>
            <w:pPr>
              <w:rPr>
                <w:rFonts w:hint="eastAsia" w:ascii="仿宋" w:hAnsi="仿宋" w:eastAsia="仿宋" w:cs="仿宋"/>
                <w:highlight w:val="none"/>
                <w14:ligatures w14:val="standardContextual"/>
              </w:rPr>
            </w:pPr>
          </w:p>
        </w:tc>
        <w:tc>
          <w:tcPr>
            <w:tcW w:w="2594" w:type="dxa"/>
            <w:gridSpan w:val="2"/>
          </w:tcPr>
          <w:p>
            <w:pPr>
              <w:jc w:val="center"/>
              <w:rPr>
                <w:rFonts w:hint="eastAsia" w:ascii="仿宋" w:hAnsi="仿宋" w:eastAsia="仿宋" w:cs="仿宋"/>
                <w:highlight w:val="none"/>
                <w14:ligatures w14:val="standardContextual"/>
              </w:rPr>
            </w:pPr>
          </w:p>
        </w:tc>
        <w:tc>
          <w:tcPr>
            <w:tcW w:w="1181" w:type="dxa"/>
          </w:tcPr>
          <w:p>
            <w:pPr>
              <w:jc w:val="center"/>
              <w:rPr>
                <w:rFonts w:hint="eastAsia" w:ascii="仿宋" w:hAnsi="仿宋" w:eastAsia="仿宋" w:cs="仿宋"/>
                <w:highlight w:val="none"/>
                <w14:ligatures w14:val="standardContextual"/>
              </w:rPr>
            </w:pPr>
          </w:p>
        </w:tc>
        <w:tc>
          <w:tcPr>
            <w:tcW w:w="1375" w:type="dxa"/>
          </w:tcPr>
          <w:p>
            <w:pPr>
              <w:jc w:val="center"/>
              <w:rPr>
                <w:rFonts w:hint="eastAsia" w:ascii="仿宋" w:hAnsi="仿宋" w:eastAsia="仿宋" w:cs="仿宋"/>
                <w:kern w:val="0"/>
                <w:highlight w:val="none"/>
                <w:u w:val="singl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3" w:type="dxa"/>
            <w:vMerge w:val="continue"/>
          </w:tcPr>
          <w:p>
            <w:pPr>
              <w:rPr>
                <w:rFonts w:hint="eastAsia" w:ascii="仿宋" w:hAnsi="仿宋" w:eastAsia="仿宋" w:cs="仿宋"/>
                <w:highlight w:val="none"/>
                <w14:ligatures w14:val="standardContextual"/>
              </w:rPr>
            </w:pPr>
          </w:p>
        </w:tc>
        <w:tc>
          <w:tcPr>
            <w:tcW w:w="2594" w:type="dxa"/>
            <w:gridSpan w:val="2"/>
          </w:tcPr>
          <w:p>
            <w:pPr>
              <w:jc w:val="center"/>
              <w:rPr>
                <w:rFonts w:hint="eastAsia" w:ascii="仿宋" w:hAnsi="仿宋" w:eastAsia="仿宋" w:cs="仿宋"/>
                <w:highlight w:val="none"/>
                <w14:ligatures w14:val="standardContextual"/>
              </w:rPr>
            </w:pPr>
          </w:p>
        </w:tc>
        <w:tc>
          <w:tcPr>
            <w:tcW w:w="1181" w:type="dxa"/>
          </w:tcPr>
          <w:p>
            <w:pPr>
              <w:jc w:val="center"/>
              <w:rPr>
                <w:rFonts w:hint="eastAsia" w:ascii="仿宋" w:hAnsi="仿宋" w:eastAsia="仿宋" w:cs="仿宋"/>
                <w:highlight w:val="none"/>
                <w14:ligatures w14:val="standardContextual"/>
              </w:rPr>
            </w:pPr>
          </w:p>
        </w:tc>
        <w:tc>
          <w:tcPr>
            <w:tcW w:w="1375" w:type="dxa"/>
          </w:tcPr>
          <w:p>
            <w:pPr>
              <w:jc w:val="center"/>
              <w:rPr>
                <w:rFonts w:hint="eastAsia" w:ascii="仿宋" w:hAnsi="仿宋" w:eastAsia="仿宋" w:cs="仿宋"/>
                <w:kern w:val="0"/>
                <w:szCs w:val="21"/>
                <w:highlight w:val="non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3" w:type="dxa"/>
            <w:vMerge w:val="continue"/>
          </w:tcPr>
          <w:p>
            <w:pPr>
              <w:rPr>
                <w:rFonts w:hint="eastAsia" w:ascii="仿宋" w:hAnsi="仿宋" w:eastAsia="仿宋" w:cs="仿宋"/>
                <w:highlight w:val="none"/>
                <w14:ligatures w14:val="standardContextual"/>
              </w:rPr>
            </w:pPr>
          </w:p>
        </w:tc>
        <w:tc>
          <w:tcPr>
            <w:tcW w:w="2594" w:type="dxa"/>
            <w:gridSpan w:val="2"/>
          </w:tcPr>
          <w:p>
            <w:pPr>
              <w:jc w:val="center"/>
              <w:rPr>
                <w:rFonts w:hint="eastAsia" w:ascii="仿宋" w:hAnsi="仿宋" w:eastAsia="仿宋" w:cs="仿宋"/>
                <w:kern w:val="0"/>
                <w:highlight w:val="none"/>
                <w14:ligatures w14:val="standardContextual"/>
              </w:rPr>
            </w:pPr>
          </w:p>
        </w:tc>
        <w:tc>
          <w:tcPr>
            <w:tcW w:w="1181" w:type="dxa"/>
          </w:tcPr>
          <w:p>
            <w:pPr>
              <w:jc w:val="center"/>
              <w:rPr>
                <w:rFonts w:hint="eastAsia" w:ascii="仿宋" w:hAnsi="仿宋" w:eastAsia="仿宋" w:cs="仿宋"/>
                <w:highlight w:val="none"/>
                <w14:ligatures w14:val="standardContextual"/>
              </w:rPr>
            </w:pPr>
          </w:p>
        </w:tc>
        <w:tc>
          <w:tcPr>
            <w:tcW w:w="1375" w:type="dxa"/>
          </w:tcPr>
          <w:p>
            <w:pPr>
              <w:jc w:val="center"/>
              <w:rPr>
                <w:rFonts w:hint="eastAsia" w:ascii="仿宋" w:hAnsi="仿宋" w:eastAsia="仿宋" w:cs="仿宋"/>
                <w:kern w:val="0"/>
                <w:szCs w:val="21"/>
                <w:highlight w:val="non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3" w:type="dxa"/>
            <w:vMerge w:val="continue"/>
          </w:tcPr>
          <w:p>
            <w:pPr>
              <w:rPr>
                <w:rFonts w:hint="eastAsia" w:ascii="仿宋" w:hAnsi="仿宋" w:eastAsia="仿宋" w:cs="仿宋"/>
                <w:highlight w:val="none"/>
                <w14:ligatures w14:val="standardContextual"/>
              </w:rPr>
            </w:pPr>
          </w:p>
        </w:tc>
        <w:tc>
          <w:tcPr>
            <w:tcW w:w="2594" w:type="dxa"/>
            <w:gridSpan w:val="2"/>
          </w:tcPr>
          <w:p>
            <w:pPr>
              <w:jc w:val="center"/>
              <w:rPr>
                <w:rFonts w:hint="eastAsia" w:ascii="仿宋" w:hAnsi="仿宋" w:eastAsia="仿宋" w:cs="仿宋"/>
                <w:kern w:val="0"/>
                <w:highlight w:val="none"/>
                <w14:ligatures w14:val="standardContextual"/>
              </w:rPr>
            </w:pPr>
          </w:p>
        </w:tc>
        <w:tc>
          <w:tcPr>
            <w:tcW w:w="1181" w:type="dxa"/>
          </w:tcPr>
          <w:p>
            <w:pPr>
              <w:jc w:val="center"/>
              <w:rPr>
                <w:rFonts w:hint="eastAsia" w:ascii="仿宋" w:hAnsi="仿宋" w:eastAsia="仿宋" w:cs="仿宋"/>
                <w:highlight w:val="none"/>
                <w14:ligatures w14:val="standardContextual"/>
              </w:rPr>
            </w:pPr>
          </w:p>
        </w:tc>
        <w:tc>
          <w:tcPr>
            <w:tcW w:w="1375" w:type="dxa"/>
          </w:tcPr>
          <w:p>
            <w:pPr>
              <w:jc w:val="center"/>
              <w:rPr>
                <w:rFonts w:hint="eastAsia" w:ascii="仿宋" w:hAnsi="仿宋" w:eastAsia="仿宋" w:cs="仿宋"/>
                <w:b/>
                <w:kern w:val="0"/>
                <w:highlight w:val="non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3" w:type="dxa"/>
            <w:vMerge w:val="continue"/>
          </w:tcPr>
          <w:p>
            <w:pPr>
              <w:rPr>
                <w:rFonts w:hint="eastAsia" w:ascii="仿宋" w:hAnsi="仿宋" w:eastAsia="仿宋" w:cs="仿宋"/>
                <w:highlight w:val="none"/>
                <w14:ligatures w14:val="standardContextual"/>
              </w:rPr>
            </w:pPr>
          </w:p>
        </w:tc>
        <w:tc>
          <w:tcPr>
            <w:tcW w:w="2594" w:type="dxa"/>
            <w:gridSpan w:val="2"/>
          </w:tcPr>
          <w:p>
            <w:pPr>
              <w:jc w:val="center"/>
              <w:rPr>
                <w:rFonts w:hint="eastAsia" w:ascii="仿宋" w:hAnsi="仿宋" w:eastAsia="仿宋" w:cs="仿宋"/>
                <w:kern w:val="0"/>
                <w:highlight w:val="none"/>
                <w14:ligatures w14:val="standardContextual"/>
              </w:rPr>
            </w:pPr>
            <w:r>
              <w:rPr>
                <w:rFonts w:hint="eastAsia" w:ascii="仿宋" w:hAnsi="仿宋" w:eastAsia="仿宋" w:cs="仿宋"/>
                <w:kern w:val="0"/>
                <w:highlight w:val="none"/>
                <w14:ligatures w14:val="standardContextual"/>
              </w:rPr>
              <w:t>总计</w:t>
            </w:r>
          </w:p>
        </w:tc>
        <w:tc>
          <w:tcPr>
            <w:tcW w:w="1181" w:type="dxa"/>
          </w:tcPr>
          <w:p>
            <w:pPr>
              <w:jc w:val="center"/>
              <w:rPr>
                <w:rFonts w:hint="eastAsia" w:ascii="仿宋" w:hAnsi="仿宋" w:eastAsia="仿宋" w:cs="仿宋"/>
                <w:kern w:val="0"/>
                <w:highlight w:val="none"/>
                <w14:ligatures w14:val="standardContextual"/>
              </w:rPr>
            </w:pPr>
          </w:p>
        </w:tc>
        <w:tc>
          <w:tcPr>
            <w:tcW w:w="1375" w:type="dxa"/>
          </w:tcPr>
          <w:p>
            <w:pPr>
              <w:jc w:val="center"/>
              <w:rPr>
                <w:rFonts w:hint="eastAsia" w:ascii="仿宋" w:hAnsi="仿宋" w:eastAsia="仿宋" w:cs="仿宋"/>
                <w:kern w:val="0"/>
                <w:highlight w:val="none"/>
                <w14:ligatures w14:val="standardContextual"/>
              </w:rPr>
            </w:pPr>
          </w:p>
        </w:tc>
        <w:tc>
          <w:tcPr>
            <w:tcW w:w="1626" w:type="dxa"/>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7879" w:type="dxa"/>
            <w:gridSpan w:val="6"/>
          </w:tcPr>
          <w:p>
            <w:pPr>
              <w:jc w:val="left"/>
              <w:rPr>
                <w:rFonts w:hint="eastAsia" w:ascii="仿宋" w:hAnsi="仿宋" w:eastAsia="仿宋" w:cs="仿宋"/>
                <w:szCs w:val="28"/>
                <w:highlight w:val="none"/>
                <w14:ligatures w14:val="standardContextual"/>
              </w:rPr>
            </w:pPr>
            <w:r>
              <w:rPr>
                <w:rFonts w:hint="eastAsia" w:ascii="仿宋" w:hAnsi="仿宋" w:eastAsia="仿宋" w:cs="仿宋"/>
                <w:szCs w:val="28"/>
                <w:highlight w:val="none"/>
                <w14:ligatures w14:val="standardContextua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872" w:type="dxa"/>
            <w:gridSpan w:val="2"/>
          </w:tcPr>
          <w:p>
            <w:pPr>
              <w:jc w:val="center"/>
              <w:rPr>
                <w:rFonts w:hint="eastAsia" w:ascii="仿宋" w:hAnsi="仿宋" w:eastAsia="仿宋" w:cs="仿宋"/>
                <w:highlight w:val="none"/>
                <w14:ligatures w14:val="standardContextual"/>
              </w:rPr>
            </w:pPr>
          </w:p>
          <w:p>
            <w:pPr>
              <w:ind w:firstLine="420" w:firstLineChars="200"/>
              <w:jc w:val="cente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经办部门验收人签名：</w:t>
            </w:r>
          </w:p>
        </w:tc>
        <w:tc>
          <w:tcPr>
            <w:tcW w:w="5007" w:type="dxa"/>
            <w:gridSpan w:val="4"/>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872" w:type="dxa"/>
            <w:gridSpan w:val="2"/>
          </w:tcPr>
          <w:p>
            <w:pPr>
              <w:ind w:firstLine="420" w:firstLineChars="200"/>
              <w:jc w:val="center"/>
              <w:rPr>
                <w:rFonts w:hint="eastAsia" w:ascii="仿宋" w:hAnsi="仿宋" w:eastAsia="仿宋" w:cs="仿宋"/>
                <w:highlight w:val="none"/>
                <w14:ligatures w14:val="standardContextual"/>
              </w:rPr>
            </w:pPr>
          </w:p>
          <w:p>
            <w:pPr>
              <w:ind w:firstLine="420" w:firstLineChars="200"/>
              <w:jc w:val="cente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经办部门经理签名：</w:t>
            </w:r>
          </w:p>
        </w:tc>
        <w:tc>
          <w:tcPr>
            <w:tcW w:w="5007" w:type="dxa"/>
            <w:gridSpan w:val="4"/>
          </w:tcPr>
          <w:p>
            <w:pPr>
              <w:jc w:val="center"/>
              <w:rPr>
                <w:rFonts w:hint="eastAsia" w:ascii="仿宋" w:hAnsi="仿宋" w:eastAsia="仿宋" w:cs="仿宋"/>
                <w:highlight w:val="none"/>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872" w:type="dxa"/>
            <w:gridSpan w:val="2"/>
          </w:tcPr>
          <w:p>
            <w:pPr>
              <w:jc w:val="center"/>
              <w:rPr>
                <w:rFonts w:hint="eastAsia" w:ascii="仿宋" w:hAnsi="仿宋" w:eastAsia="仿宋" w:cs="仿宋"/>
                <w:highlight w:val="none"/>
                <w14:ligatures w14:val="standardContextual"/>
              </w:rPr>
            </w:pPr>
          </w:p>
          <w:p>
            <w:pPr>
              <w:ind w:firstLine="420" w:firstLineChars="200"/>
              <w:jc w:val="cente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乙方代表签名：</w:t>
            </w:r>
          </w:p>
          <w:p>
            <w:pPr>
              <w:ind w:firstLine="420" w:firstLineChars="200"/>
              <w:jc w:val="center"/>
              <w:rPr>
                <w:rFonts w:hint="eastAsia" w:ascii="仿宋" w:hAnsi="仿宋" w:eastAsia="仿宋" w:cs="仿宋"/>
                <w:highlight w:val="none"/>
                <w14:ligatures w14:val="standardContextual"/>
              </w:rPr>
            </w:pPr>
            <w:r>
              <w:rPr>
                <w:rFonts w:hint="eastAsia" w:ascii="仿宋" w:hAnsi="仿宋" w:eastAsia="仿宋" w:cs="仿宋"/>
                <w:highlight w:val="none"/>
                <w14:ligatures w14:val="standardContextual"/>
              </w:rPr>
              <w:t>（公章）</w:t>
            </w:r>
          </w:p>
        </w:tc>
        <w:tc>
          <w:tcPr>
            <w:tcW w:w="5007" w:type="dxa"/>
            <w:gridSpan w:val="4"/>
          </w:tcPr>
          <w:p>
            <w:pPr>
              <w:jc w:val="center"/>
              <w:rPr>
                <w:rFonts w:hint="eastAsia" w:ascii="仿宋" w:hAnsi="仿宋" w:eastAsia="仿宋" w:cs="仿宋"/>
                <w:highlight w:val="none"/>
                <w14:ligatures w14:val="standardContextual"/>
              </w:rPr>
            </w:pPr>
          </w:p>
        </w:tc>
      </w:tr>
    </w:tbl>
    <w:p>
      <w:pPr>
        <w:spacing w:line="400" w:lineRule="exact"/>
        <w:rPr>
          <w:rFonts w:hint="eastAsia" w:ascii="仿宋" w:hAnsi="仿宋" w:eastAsia="仿宋" w:cs="仿宋"/>
          <w:bCs/>
          <w:sz w:val="28"/>
          <w:szCs w:val="28"/>
          <w:highlight w:val="none"/>
        </w:rPr>
      </w:pPr>
    </w:p>
    <w:p>
      <w:pPr>
        <w:pStyle w:val="2"/>
        <w:rPr>
          <w:highlight w:val="none"/>
        </w:rPr>
      </w:pPr>
      <w:r>
        <w:rPr>
          <w:rFonts w:hint="eastAsia"/>
          <w:highlight w:val="none"/>
        </w:rPr>
        <w:br w:type="page"/>
      </w:r>
    </w:p>
    <w:p>
      <w:pPr>
        <w:adjustRightInd w:val="0"/>
        <w:snapToGrid w:val="0"/>
        <w:spacing w:line="40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pPr>
        <w:adjustRightInd w:val="0"/>
        <w:snapToGrid w:val="0"/>
        <w:spacing w:line="48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廉洁协议</w:t>
      </w:r>
    </w:p>
    <w:p>
      <w:pPr>
        <w:spacing w:line="360" w:lineRule="auto"/>
        <w:jc w:val="left"/>
        <w:rPr>
          <w:rFonts w:hint="eastAsia" w:ascii="宋体" w:hAnsi="宋体" w:cs="宋体"/>
          <w:sz w:val="24"/>
          <w:highlight w:val="none"/>
        </w:rPr>
      </w:pPr>
    </w:p>
    <w:p>
      <w:p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rPr>
        <w:t>甲方1：广州市城投资产经营管理有限公司</w:t>
      </w:r>
    </w:p>
    <w:p>
      <w:p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rPr>
        <w:t>甲方2：广州市城投资产经营管理有限公司珠江新城分公司</w:t>
      </w:r>
    </w:p>
    <w:p>
      <w:p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rPr>
        <w:t>甲方3：广州市城投资产经营管理有限公司流花分公司；</w:t>
      </w:r>
    </w:p>
    <w:p>
      <w:p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rPr>
        <w:t>甲方4：广州市城投资产经营管理有限公司花果山分公司</w:t>
      </w:r>
    </w:p>
    <w:p>
      <w:p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rPr>
        <w:t>乙方：</w:t>
      </w:r>
    </w:p>
    <w:p>
      <w:pPr>
        <w:adjustRightInd w:val="0"/>
        <w:snapToGrid w:val="0"/>
        <w:spacing w:line="480" w:lineRule="exact"/>
        <w:jc w:val="left"/>
        <w:rPr>
          <w:rFonts w:hint="eastAsia" w:ascii="仿宋" w:hAnsi="仿宋" w:eastAsia="仿宋" w:cs="仿宋"/>
          <w:sz w:val="24"/>
          <w:highlight w:val="none"/>
        </w:rPr>
      </w:pPr>
    </w:p>
    <w:p>
      <w:pPr>
        <w:adjustRightInd w:val="0"/>
        <w:snapToGrid w:val="0"/>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为保障甲方和乙方在业务往来中的合法权益，促进企业党风建设、廉洁从业，预防商业贿赂和不正当竞争，</w:t>
      </w:r>
      <w:r>
        <w:rPr>
          <w:rFonts w:hint="eastAsia" w:ascii="仿宋" w:hAnsi="仿宋" w:eastAsia="仿宋" w:cs="仿宋"/>
          <w:bCs/>
          <w:iCs/>
          <w:sz w:val="24"/>
          <w:highlight w:val="none"/>
          <w:lang w:bidi="ar"/>
        </w:rPr>
        <w:t>按照</w:t>
      </w:r>
      <w:r>
        <w:rPr>
          <w:rFonts w:hint="eastAsia" w:ascii="仿宋" w:hAnsi="仿宋" w:eastAsia="仿宋" w:cs="仿宋"/>
          <w:sz w:val="24"/>
          <w:highlight w:val="none"/>
          <w:lang w:bidi="ar"/>
        </w:rPr>
        <w:t>《中国共产党纪律处分条例》、《中华人民共和国公职人员政务处分法》、《国有企业领导人员廉洁从业若干规定》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pPr>
        <w:numPr>
          <w:ilvl w:val="0"/>
          <w:numId w:val="8"/>
        </w:numPr>
        <w:adjustRightInd w:val="0"/>
        <w:snapToGrid w:val="0"/>
        <w:spacing w:line="48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  甲乙双方责任</w:t>
      </w:r>
    </w:p>
    <w:p>
      <w:pPr>
        <w:numPr>
          <w:ilvl w:val="0"/>
          <w:numId w:val="9"/>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严格遵守国家法律法规和廉洁从业规定以及相关行业行风建设的纪律和规定。</w:t>
      </w:r>
    </w:p>
    <w:p>
      <w:pPr>
        <w:numPr>
          <w:ilvl w:val="0"/>
          <w:numId w:val="9"/>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严格执行合同，自觉按合同办事。</w:t>
      </w:r>
    </w:p>
    <w:p>
      <w:pPr>
        <w:numPr>
          <w:ilvl w:val="0"/>
          <w:numId w:val="9"/>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双方的业务活动必须坚持公开、公平、公正、诚信、透明的原则（法律法规另有规定或双方约定除外），不得损害国家和企业利益。</w:t>
      </w:r>
    </w:p>
    <w:p>
      <w:pPr>
        <w:numPr>
          <w:ilvl w:val="0"/>
          <w:numId w:val="9"/>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发现对方在业务活动中有违反廉洁从业规定或本协议约定的行为，应及时提醒和纠正对方。</w:t>
      </w:r>
    </w:p>
    <w:p>
      <w:pPr>
        <w:numPr>
          <w:ilvl w:val="0"/>
          <w:numId w:val="9"/>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发现对方在业务活动中有严重违反廉洁从业规定的行为，有权向对方主管部门或有关部门举报。</w:t>
      </w:r>
    </w:p>
    <w:p>
      <w:pPr>
        <w:numPr>
          <w:ilvl w:val="0"/>
          <w:numId w:val="8"/>
        </w:numPr>
        <w:adjustRightInd w:val="0"/>
        <w:snapToGrid w:val="0"/>
        <w:spacing w:line="48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  甲方应遵守下列条款</w:t>
      </w:r>
    </w:p>
    <w:p>
      <w:pPr>
        <w:numPr>
          <w:ilvl w:val="0"/>
          <w:numId w:val="10"/>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甲方、甲方工作人员及其亲属不得以暗示或任何形式向乙方索要或收受回扣、提成、现金、有价证券、支付凭证和贵重礼品等财物。</w:t>
      </w:r>
    </w:p>
    <w:p>
      <w:pPr>
        <w:numPr>
          <w:ilvl w:val="0"/>
          <w:numId w:val="10"/>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甲方及其工作人员不得参加乙方安排的宴请（工作餐除外）、娱乐活动、高档消费；不得接受乙方向甲方及其工作人员提供的通信工具、交通工具和高档办公用品等物品。</w:t>
      </w:r>
    </w:p>
    <w:p>
      <w:pPr>
        <w:numPr>
          <w:ilvl w:val="0"/>
          <w:numId w:val="10"/>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甲方及其工作人员不得以任何理由要求、暗示或接受乙方和相关单位为其在度假、出国（出境）旅游、婚丧嫁娶、住房装修、配偶子女等亲属工作安排等方面提供方便。</w:t>
      </w:r>
    </w:p>
    <w:p>
      <w:pPr>
        <w:numPr>
          <w:ilvl w:val="0"/>
          <w:numId w:val="10"/>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甲方工作人员不得在乙方报销应由甲方或个人支付的任何费用。</w:t>
      </w:r>
    </w:p>
    <w:p>
      <w:pPr>
        <w:numPr>
          <w:ilvl w:val="0"/>
          <w:numId w:val="10"/>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甲方工作人员及其配偶、子女及其他特定关系人不得以个人借用（包含甲方借给乙方或乙方借给甲方）等名义与乙方或乙方工作人员发生现金、房屋、交通工具和贵重物品往来。</w:t>
      </w:r>
    </w:p>
    <w:p>
      <w:pPr>
        <w:numPr>
          <w:ilvl w:val="0"/>
          <w:numId w:val="10"/>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如果乙方向甲方工作人员提供第三条第（一）至（五）款所指的内容，甲方工作人员应拒绝对方；对于无法拒绝的，应及时向甲方纪检部门举报。</w:t>
      </w:r>
    </w:p>
    <w:p>
      <w:pPr>
        <w:numPr>
          <w:ilvl w:val="0"/>
          <w:numId w:val="8"/>
        </w:numPr>
        <w:adjustRightInd w:val="0"/>
        <w:snapToGrid w:val="0"/>
        <w:spacing w:line="48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  乙方应遵守下列条款</w:t>
      </w:r>
    </w:p>
    <w:p>
      <w:pPr>
        <w:numPr>
          <w:ilvl w:val="0"/>
          <w:numId w:val="11"/>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乙方不得以任何形式向甲方及其工作人员馈赠现金、有价证券、支付凭证和贵重礼品等财物。</w:t>
      </w:r>
    </w:p>
    <w:p>
      <w:pPr>
        <w:numPr>
          <w:ilvl w:val="0"/>
          <w:numId w:val="11"/>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乙方不得以任何理由邀请甲方工作人员参加有可能影响业务活动的宴请及娱乐活动；不得为甲方及其工作人员提供的通信工具、交通工具和高档办公用品等物品。</w:t>
      </w:r>
    </w:p>
    <w:p>
      <w:pPr>
        <w:numPr>
          <w:ilvl w:val="0"/>
          <w:numId w:val="11"/>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乙方不得为甲方工作人员在度假、出国（出境）旅游、婚丧嫁娶、住房装修、配偶子女等亲属工作安排等方面提供方便。</w:t>
      </w:r>
    </w:p>
    <w:p>
      <w:pPr>
        <w:numPr>
          <w:ilvl w:val="0"/>
          <w:numId w:val="11"/>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乙方不得以任何名义为甲方工作人员及其亲属支付应由个人支付的各种费用。</w:t>
      </w:r>
    </w:p>
    <w:p>
      <w:pPr>
        <w:numPr>
          <w:ilvl w:val="0"/>
          <w:numId w:val="11"/>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乙方或乙方工作人员不得以借用（包含甲方借给乙方或乙方借给甲方）等名义与甲方工作人员及其配偶、子女及其他特定关系人发生现金、房屋、交通工具和贵重物品往来。</w:t>
      </w:r>
    </w:p>
    <w:p>
      <w:pPr>
        <w:numPr>
          <w:ilvl w:val="0"/>
          <w:numId w:val="11"/>
        </w:numPr>
        <w:adjustRightInd w:val="0"/>
        <w:snapToGrid w:val="0"/>
        <w:spacing w:line="480" w:lineRule="exact"/>
        <w:rPr>
          <w:rFonts w:hint="eastAsia" w:ascii="仿宋" w:hAnsi="仿宋" w:eastAsia="仿宋" w:cs="仿宋"/>
          <w:sz w:val="24"/>
          <w:highlight w:val="none"/>
        </w:rPr>
      </w:pPr>
      <w:r>
        <w:rPr>
          <w:rFonts w:hint="eastAsia" w:ascii="仿宋" w:hAnsi="仿宋" w:eastAsia="仿宋" w:cs="仿宋"/>
          <w:sz w:val="24"/>
          <w:highlight w:val="none"/>
          <w:lang w:bidi="ar"/>
        </w:rPr>
        <w:t>甲方工作人员主动向乙方索要或要求乙方安排和提供第三条（一）至（五）款所指的内容，乙方应予以拒绝，并向甲方纪检部门及时举报（举报电话：26080687-8593，举报邮箱：jjjcs@gzcijy.net）。</w:t>
      </w:r>
    </w:p>
    <w:p>
      <w:pPr>
        <w:numPr>
          <w:ilvl w:val="0"/>
          <w:numId w:val="8"/>
        </w:numPr>
        <w:adjustRightInd w:val="0"/>
        <w:snapToGrid w:val="0"/>
        <w:spacing w:line="48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  违约责任</w:t>
      </w:r>
    </w:p>
    <w:p>
      <w:pPr>
        <w:adjustRightInd w:val="0"/>
        <w:snapToGrid w:val="0"/>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甲乙双方工作人员如违反本协议，按照管理权限，依据有关法律法规和相关规定给予党纪、政纪处分或组织处理；涉嫌犯罪的，移交司法机关追究刑事责任；给对方单位造成经济损失的，应予以赔偿。</w:t>
      </w:r>
    </w:p>
    <w:p>
      <w:pPr>
        <w:numPr>
          <w:ilvl w:val="0"/>
          <w:numId w:val="8"/>
        </w:numPr>
        <w:adjustRightInd w:val="0"/>
        <w:snapToGrid w:val="0"/>
        <w:spacing w:line="48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  如甲乙双方有违反国家法律法规和廉洁从业规定的其他行为，参照本协议约定执行。</w:t>
      </w:r>
    </w:p>
    <w:p>
      <w:pPr>
        <w:numPr>
          <w:ilvl w:val="0"/>
          <w:numId w:val="8"/>
        </w:numPr>
        <w:adjustRightInd w:val="0"/>
        <w:snapToGrid w:val="0"/>
        <w:spacing w:line="48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  本协议经双方盖章后生效，一式肆份，甲方执贰份，乙方执贰份，具有同等法律效力。</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lang w:bidi="ar"/>
        </w:rPr>
        <w:t>（以下无正文）</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（本页为签署页）</w:t>
      </w:r>
    </w:p>
    <w:p>
      <w:pPr>
        <w:adjustRightInd w:val="0"/>
        <w:snapToGrid w:val="0"/>
        <w:spacing w:line="480" w:lineRule="exact"/>
        <w:jc w:val="left"/>
        <w:rPr>
          <w:rFonts w:hint="eastAsia" w:ascii="仿宋" w:hAnsi="仿宋" w:eastAsia="仿宋" w:cs="仿宋"/>
          <w:sz w:val="24"/>
          <w:highlight w:val="none"/>
        </w:rPr>
      </w:pP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b/>
          <w:bCs/>
          <w:sz w:val="24"/>
          <w:highlight w:val="none"/>
        </w:rPr>
        <w:t>甲  方1（盖章）</w:t>
      </w:r>
      <w:r>
        <w:rPr>
          <w:rFonts w:hint="eastAsia" w:ascii="仿宋" w:hAnsi="仿宋" w:eastAsia="仿宋" w:cs="仿宋"/>
          <w:sz w:val="24"/>
          <w:highlight w:val="none"/>
        </w:rPr>
        <w:t>：广州市城投资产经营管理有限公司</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法定代表人或授权代表：</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日期：</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b/>
          <w:bCs/>
          <w:sz w:val="24"/>
          <w:highlight w:val="none"/>
        </w:rPr>
        <w:t>甲  方2（盖章）</w:t>
      </w:r>
      <w:r>
        <w:rPr>
          <w:rFonts w:hint="eastAsia" w:ascii="仿宋" w:hAnsi="仿宋" w:eastAsia="仿宋" w:cs="仿宋"/>
          <w:sz w:val="24"/>
          <w:highlight w:val="none"/>
        </w:rPr>
        <w:t>：广州市城投资产经营管理有限公司珠江新城分公司</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法定代表人或授权代表：</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日期：</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b/>
          <w:bCs/>
          <w:sz w:val="24"/>
          <w:highlight w:val="none"/>
        </w:rPr>
        <w:t>甲  方3（盖章）</w:t>
      </w:r>
      <w:r>
        <w:rPr>
          <w:rFonts w:hint="eastAsia" w:ascii="仿宋" w:hAnsi="仿宋" w:eastAsia="仿宋" w:cs="仿宋"/>
          <w:sz w:val="24"/>
          <w:highlight w:val="none"/>
        </w:rPr>
        <w:t>：广州市城投资产经营管理有限公司流花分公司</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法定代表人或授权代表：</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日期：</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b/>
          <w:bCs/>
          <w:sz w:val="24"/>
          <w:highlight w:val="none"/>
        </w:rPr>
        <w:t>甲  方4（盖章）</w:t>
      </w:r>
      <w:r>
        <w:rPr>
          <w:rFonts w:hint="eastAsia" w:ascii="仿宋" w:hAnsi="仿宋" w:eastAsia="仿宋" w:cs="仿宋"/>
          <w:sz w:val="24"/>
          <w:highlight w:val="none"/>
        </w:rPr>
        <w:t>：广州市城投资产经营管理有限公司花果山分公司</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法定代表人或授权代表：</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日期：</w:t>
      </w:r>
    </w:p>
    <w:p>
      <w:pPr>
        <w:adjustRightInd w:val="0"/>
        <w:snapToGrid w:val="0"/>
        <w:spacing w:line="480" w:lineRule="exact"/>
        <w:jc w:val="left"/>
        <w:rPr>
          <w:rFonts w:hint="eastAsia" w:ascii="仿宋" w:hAnsi="仿宋" w:eastAsia="仿宋" w:cs="仿宋"/>
          <w:sz w:val="24"/>
          <w:highlight w:val="none"/>
        </w:rPr>
      </w:pP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b/>
          <w:bCs/>
          <w:sz w:val="24"/>
          <w:highlight w:val="none"/>
        </w:rPr>
        <w:t>乙   方（盖章）</w:t>
      </w:r>
      <w:r>
        <w:rPr>
          <w:rFonts w:hint="eastAsia" w:ascii="仿宋" w:hAnsi="仿宋" w:eastAsia="仿宋" w:cs="仿宋"/>
          <w:sz w:val="24"/>
          <w:highlight w:val="none"/>
        </w:rPr>
        <w:t xml:space="preserve">： </w:t>
      </w:r>
    </w:p>
    <w:p>
      <w:pPr>
        <w:adjustRightInd w:val="0"/>
        <w:snapToGrid w:val="0"/>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法定代表人或授权代表：</w:t>
      </w:r>
    </w:p>
    <w:p>
      <w:pPr>
        <w:spacing w:line="400" w:lineRule="exact"/>
        <w:rPr>
          <w:rFonts w:hint="eastAsia" w:ascii="仿宋" w:hAnsi="仿宋" w:eastAsia="仿宋" w:cs="仿宋"/>
          <w:bCs/>
          <w:sz w:val="28"/>
          <w:szCs w:val="28"/>
          <w:highlight w:val="none"/>
        </w:rPr>
      </w:pPr>
    </w:p>
    <w:p>
      <w:pPr>
        <w:pStyle w:val="2"/>
        <w:rPr>
          <w:highlight w:val="none"/>
        </w:rPr>
        <w:sectPr>
          <w:pgSz w:w="11906" w:h="16838"/>
          <w:pgMar w:top="1440" w:right="1797" w:bottom="1091" w:left="1797" w:header="851" w:footer="992" w:gutter="0"/>
          <w:cols w:space="720" w:num="1"/>
          <w:docGrid w:type="lines" w:linePitch="312" w:charSpace="0"/>
        </w:sectPr>
      </w:pPr>
    </w:p>
    <w:p>
      <w:pPr>
        <w:adjustRightInd w:val="0"/>
        <w:snapToGrid w:val="0"/>
        <w:spacing w:line="480" w:lineRule="exact"/>
        <w:jc w:val="left"/>
        <w:rPr>
          <w:rFonts w:hint="eastAsia" w:ascii="仿宋" w:hAnsi="仿宋" w:eastAsia="仿宋" w:cs="仿宋"/>
          <w:sz w:val="24"/>
          <w:highlight w:val="none"/>
        </w:rPr>
      </w:pPr>
    </w:p>
    <w:bookmarkEnd w:id="27"/>
    <w:p>
      <w:pPr>
        <w:jc w:val="center"/>
        <w:rPr>
          <w:rFonts w:hint="eastAsia" w:ascii="宋体" w:hAnsi="宋体" w:cs="宋体"/>
          <w:b/>
          <w:sz w:val="32"/>
          <w:szCs w:val="32"/>
          <w:highlight w:val="none"/>
        </w:rPr>
      </w:pPr>
      <w:r>
        <w:rPr>
          <w:rFonts w:hint="eastAsia" w:ascii="宋体" w:hAnsi="宋体" w:cs="宋体"/>
          <w:b/>
          <w:sz w:val="32"/>
          <w:szCs w:val="32"/>
          <w:highlight w:val="none"/>
        </w:rPr>
        <w:t>五、竞投文件格式（竞投人提交）</w:t>
      </w:r>
    </w:p>
    <w:p>
      <w:pPr>
        <w:pStyle w:val="5"/>
        <w:spacing w:line="240" w:lineRule="auto"/>
        <w:rPr>
          <w:rFonts w:hint="eastAsia" w:ascii="宋体" w:hAnsi="宋体" w:eastAsia="宋体" w:cs="宋体"/>
          <w:sz w:val="28"/>
          <w:szCs w:val="28"/>
          <w:highlight w:val="none"/>
        </w:rPr>
      </w:pPr>
      <w:r>
        <w:rPr>
          <w:rFonts w:hint="eastAsia" w:ascii="宋体" w:hAnsi="宋体" w:eastAsia="宋体" w:cs="宋体"/>
          <w:b w:val="0"/>
          <w:sz w:val="24"/>
          <w:szCs w:val="24"/>
          <w:highlight w:val="none"/>
        </w:rPr>
        <w:t xml:space="preserve">附件1：竞投文件封面  </w:t>
      </w:r>
      <w:r>
        <w:rPr>
          <w:rFonts w:hint="eastAsia" w:ascii="宋体" w:hAnsi="宋体" w:eastAsia="宋体" w:cs="宋体"/>
          <w:sz w:val="28"/>
          <w:szCs w:val="28"/>
          <w:highlight w:val="none"/>
        </w:rPr>
        <w:t xml:space="preserve">              </w:t>
      </w:r>
    </w:p>
    <w:p>
      <w:pPr>
        <w:widowControl/>
        <w:spacing w:line="440" w:lineRule="exact"/>
        <w:rPr>
          <w:rFonts w:hint="eastAsia" w:ascii="宋体" w:hAnsi="宋体" w:cs="宋体"/>
          <w:b/>
          <w:sz w:val="28"/>
          <w:szCs w:val="28"/>
          <w:highlight w:val="none"/>
        </w:rPr>
      </w:pPr>
    </w:p>
    <w:p>
      <w:pPr>
        <w:rPr>
          <w:rFonts w:hint="eastAsia" w:ascii="宋体" w:hAnsi="宋体" w:cs="宋体"/>
          <w:highlight w:val="none"/>
        </w:rPr>
      </w:pPr>
    </w:p>
    <w:p>
      <w:pPr>
        <w:rPr>
          <w:rFonts w:hint="eastAsia" w:ascii="宋体" w:hAnsi="宋体" w:cs="宋体"/>
          <w:sz w:val="72"/>
          <w:szCs w:val="72"/>
          <w:highlight w:val="none"/>
        </w:rPr>
      </w:pPr>
    </w:p>
    <w:p>
      <w:pPr>
        <w:jc w:val="center"/>
        <w:rPr>
          <w:rFonts w:hint="eastAsia" w:ascii="宋体" w:hAnsi="宋体" w:cs="宋体"/>
          <w:b/>
          <w:sz w:val="52"/>
          <w:szCs w:val="48"/>
          <w:highlight w:val="none"/>
        </w:rPr>
      </w:pPr>
      <w:r>
        <w:rPr>
          <w:rFonts w:hint="eastAsia" w:ascii="宋体" w:hAnsi="宋体" w:cs="宋体"/>
          <w:b/>
          <w:sz w:val="52"/>
          <w:szCs w:val="48"/>
          <w:highlight w:val="none"/>
        </w:rPr>
        <w:t>2026年度城享慧商业会员系统建设与运营服务项目</w:t>
      </w:r>
    </w:p>
    <w:p>
      <w:pPr>
        <w:jc w:val="center"/>
        <w:rPr>
          <w:rFonts w:hint="eastAsia" w:ascii="宋体" w:hAnsi="宋体" w:cs="宋体"/>
          <w:b/>
          <w:sz w:val="90"/>
          <w:szCs w:val="90"/>
          <w:highlight w:val="none"/>
        </w:rPr>
      </w:pPr>
      <w:r>
        <w:rPr>
          <w:rFonts w:hint="eastAsia" w:ascii="宋体" w:hAnsi="宋体" w:cs="宋体"/>
          <w:b/>
          <w:sz w:val="90"/>
          <w:szCs w:val="90"/>
          <w:highlight w:val="none"/>
        </w:rPr>
        <w:t>竞投文件</w:t>
      </w:r>
    </w:p>
    <w:p>
      <w:pPr>
        <w:jc w:val="center"/>
        <w:rPr>
          <w:rFonts w:hint="eastAsia" w:ascii="宋体" w:hAnsi="宋体" w:cs="宋体"/>
          <w:sz w:val="72"/>
          <w:szCs w:val="72"/>
          <w:highlight w:val="none"/>
        </w:rPr>
      </w:pPr>
      <w:r>
        <w:rPr>
          <w:rFonts w:hint="eastAsia" w:ascii="宋体" w:hAnsi="宋体" w:cs="宋体"/>
          <w:b/>
          <w:sz w:val="52"/>
          <w:szCs w:val="52"/>
          <w:highlight w:val="none"/>
        </w:rPr>
        <w:t>（正本/副本）</w:t>
      </w:r>
    </w:p>
    <w:p>
      <w:pPr>
        <w:pStyle w:val="17"/>
        <w:rPr>
          <w:rFonts w:hint="eastAsia" w:ascii="宋体" w:hAnsi="宋体" w:cs="宋体"/>
          <w:highlight w:val="none"/>
        </w:rPr>
      </w:pPr>
    </w:p>
    <w:p>
      <w:pPr>
        <w:rPr>
          <w:rFonts w:hint="eastAsia" w:ascii="宋体" w:hAnsi="宋体" w:cs="宋体"/>
          <w:sz w:val="72"/>
          <w:szCs w:val="72"/>
          <w:highlight w:val="none"/>
        </w:rPr>
      </w:pPr>
    </w:p>
    <w:p>
      <w:pPr>
        <w:ind w:firstLine="2560" w:firstLineChars="800"/>
        <w:rPr>
          <w:rFonts w:hint="eastAsia" w:ascii="宋体" w:hAnsi="宋体" w:cs="宋体"/>
          <w:sz w:val="32"/>
          <w:szCs w:val="32"/>
          <w:highlight w:val="none"/>
          <w:u w:val="single"/>
        </w:rPr>
      </w:pPr>
      <w:r>
        <w:rPr>
          <w:rFonts w:hint="eastAsia" w:ascii="宋体" w:hAnsi="宋体" w:cs="宋体"/>
          <w:sz w:val="32"/>
          <w:szCs w:val="32"/>
          <w:highlight w:val="none"/>
        </w:rPr>
        <w:t>竞投单位：</w:t>
      </w:r>
    </w:p>
    <w:p>
      <w:pPr>
        <w:ind w:firstLine="2560" w:firstLineChars="800"/>
        <w:rPr>
          <w:rFonts w:hint="eastAsia" w:ascii="宋体" w:hAnsi="宋体" w:cs="宋体"/>
          <w:sz w:val="32"/>
          <w:szCs w:val="32"/>
          <w:highlight w:val="none"/>
        </w:rPr>
      </w:pPr>
      <w:r>
        <w:rPr>
          <w:rFonts w:hint="eastAsia" w:ascii="宋体" w:hAnsi="宋体" w:cs="宋体"/>
          <w:sz w:val="32"/>
          <w:szCs w:val="32"/>
          <w:highlight w:val="none"/>
        </w:rPr>
        <w:t>竞投日期：  年  月  日</w:t>
      </w:r>
    </w:p>
    <w:p>
      <w:pPr>
        <w:spacing w:line="348" w:lineRule="auto"/>
        <w:ind w:firstLine="280" w:firstLineChars="100"/>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4"/>
          <w:highlight w:val="none"/>
        </w:rPr>
        <w:t>附件1：竞投函</w:t>
      </w:r>
    </w:p>
    <w:p>
      <w:pPr>
        <w:pStyle w:val="5"/>
        <w:spacing w:line="24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竞投函</w:t>
      </w:r>
    </w:p>
    <w:p>
      <w:pPr>
        <w:spacing w:line="360" w:lineRule="auto"/>
        <w:rPr>
          <w:rFonts w:hint="eastAsia" w:ascii="宋体" w:hAnsi="宋体" w:cs="宋体"/>
          <w:b/>
          <w:bCs/>
          <w:sz w:val="24"/>
          <w:highlight w:val="none"/>
        </w:rPr>
      </w:pPr>
      <w:r>
        <w:rPr>
          <w:rFonts w:hint="eastAsia" w:ascii="宋体" w:hAnsi="宋体" w:cs="宋体"/>
          <w:b/>
          <w:bCs/>
          <w:sz w:val="24"/>
          <w:highlight w:val="none"/>
        </w:rPr>
        <w:t xml:space="preserve">致: </w:t>
      </w:r>
      <w:r>
        <w:rPr>
          <w:rFonts w:hint="eastAsia" w:ascii="宋体" w:hAnsi="宋体" w:cs="宋体"/>
          <w:b/>
          <w:bCs/>
          <w:color w:val="333333"/>
          <w:kern w:val="0"/>
          <w:sz w:val="24"/>
          <w:highlight w:val="none"/>
        </w:rPr>
        <w:t>广州市城投资产经营管理有限公司（采购人）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根据你方采购项目</w:t>
      </w:r>
      <w:r>
        <w:rPr>
          <w:rFonts w:hint="eastAsia" w:ascii="宋体" w:hAnsi="宋体" w:cs="宋体"/>
          <w:sz w:val="24"/>
          <w:highlight w:val="none"/>
          <w:u w:val="single"/>
        </w:rPr>
        <w:t xml:space="preserve">                            </w:t>
      </w:r>
      <w:r>
        <w:rPr>
          <w:rFonts w:hint="eastAsia" w:ascii="宋体" w:hAnsi="宋体" w:cs="宋体"/>
          <w:sz w:val="24"/>
          <w:highlight w:val="none"/>
        </w:rPr>
        <w:t>的竞选采购文件要求，我方在此声明并同意：</w:t>
      </w:r>
    </w:p>
    <w:p>
      <w:pPr>
        <w:numPr>
          <w:ilvl w:val="0"/>
          <w:numId w:val="12"/>
        </w:numPr>
        <w:spacing w:line="360" w:lineRule="auto"/>
        <w:ind w:left="0" w:firstLine="425"/>
        <w:rPr>
          <w:rFonts w:hint="eastAsia" w:ascii="宋体" w:hAnsi="宋体" w:cs="宋体"/>
          <w:sz w:val="24"/>
          <w:highlight w:val="none"/>
        </w:rPr>
      </w:pPr>
      <w:r>
        <w:rPr>
          <w:rFonts w:hint="eastAsia" w:ascii="宋体" w:hAnsi="宋体" w:cs="宋体"/>
          <w:sz w:val="24"/>
          <w:highlight w:val="none"/>
        </w:rPr>
        <w:t>我方愿意遵守采购文件的各项规定，按采购文件的要求提供各项资料及报价。</w:t>
      </w:r>
    </w:p>
    <w:p>
      <w:pPr>
        <w:numPr>
          <w:ilvl w:val="0"/>
          <w:numId w:val="12"/>
        </w:numPr>
        <w:spacing w:line="360" w:lineRule="auto"/>
        <w:ind w:left="0" w:firstLine="425"/>
        <w:rPr>
          <w:rFonts w:hint="eastAsia" w:ascii="宋体" w:hAnsi="宋体" w:cs="宋体"/>
          <w:sz w:val="24"/>
          <w:highlight w:val="none"/>
        </w:rPr>
      </w:pPr>
      <w:r>
        <w:rPr>
          <w:rFonts w:hint="eastAsia" w:ascii="宋体" w:hAnsi="宋体" w:cs="宋体"/>
          <w:sz w:val="24"/>
          <w:highlight w:val="none"/>
        </w:rPr>
        <w:t>我方已经详细地阅读了全部采购文件及附件，包括澄清及参考文件（如果有的话），我方完全清晰理解采购文件的要求，不存在任何含糊不清和误解之处，同意放弃对这些文件提出异议和质疑的权利。</w:t>
      </w:r>
    </w:p>
    <w:p>
      <w:pPr>
        <w:numPr>
          <w:ilvl w:val="0"/>
          <w:numId w:val="12"/>
        </w:numPr>
        <w:spacing w:line="360" w:lineRule="auto"/>
        <w:ind w:left="0" w:firstLine="425"/>
        <w:rPr>
          <w:rFonts w:hint="eastAsia" w:ascii="宋体" w:hAnsi="宋体" w:cs="宋体"/>
          <w:sz w:val="24"/>
          <w:highlight w:val="none"/>
        </w:rPr>
      </w:pPr>
      <w:r>
        <w:rPr>
          <w:rFonts w:hint="eastAsia" w:ascii="宋体" w:hAnsi="宋体" w:cs="宋体"/>
          <w:sz w:val="24"/>
          <w:highlight w:val="none"/>
        </w:rPr>
        <w:t>我方完全接受该项目采购文件中关于竞投的规定，并同意放弃对这规定提出异议和质疑的权利。</w:t>
      </w:r>
    </w:p>
    <w:p>
      <w:pPr>
        <w:numPr>
          <w:ilvl w:val="0"/>
          <w:numId w:val="12"/>
        </w:numPr>
        <w:spacing w:line="360" w:lineRule="auto"/>
        <w:ind w:left="0" w:firstLine="425"/>
        <w:rPr>
          <w:rFonts w:hint="eastAsia" w:ascii="宋体" w:hAnsi="宋体" w:cs="宋体"/>
          <w:sz w:val="24"/>
          <w:highlight w:val="none"/>
        </w:rPr>
      </w:pPr>
      <w:r>
        <w:rPr>
          <w:rFonts w:hint="eastAsia" w:ascii="宋体" w:hAnsi="宋体" w:cs="宋体"/>
          <w:sz w:val="24"/>
          <w:highlight w:val="none"/>
        </w:rPr>
        <w:t>我方同意提供采购文件要求的有关竞投的其它资料。</w:t>
      </w:r>
    </w:p>
    <w:p>
      <w:pPr>
        <w:numPr>
          <w:ilvl w:val="0"/>
          <w:numId w:val="12"/>
        </w:numPr>
        <w:spacing w:line="360" w:lineRule="auto"/>
        <w:ind w:left="0" w:firstLine="425"/>
        <w:rPr>
          <w:rFonts w:hint="eastAsia" w:ascii="宋体" w:hAnsi="宋体" w:cs="宋体"/>
          <w:sz w:val="24"/>
          <w:highlight w:val="none"/>
        </w:rPr>
      </w:pPr>
      <w:r>
        <w:rPr>
          <w:rFonts w:hint="eastAsia" w:ascii="宋体" w:hAnsi="宋体" w:cs="宋体"/>
          <w:sz w:val="24"/>
          <w:highlight w:val="none"/>
        </w:rPr>
        <w:t>我方承诺在本次竞投中提供的一切文件，无论是原件或是复印件均为真实和准确的，绝无任何虚假、伪造和夸大的成份。否则，我方愿意承担相应的后果和法律责任。</w:t>
      </w:r>
    </w:p>
    <w:p>
      <w:pPr>
        <w:numPr>
          <w:ilvl w:val="0"/>
          <w:numId w:val="12"/>
        </w:numPr>
        <w:spacing w:line="360" w:lineRule="auto"/>
        <w:ind w:left="0" w:firstLine="425"/>
        <w:rPr>
          <w:rFonts w:hint="eastAsia" w:ascii="宋体" w:hAnsi="宋体" w:cs="宋体"/>
          <w:sz w:val="24"/>
          <w:highlight w:val="none"/>
        </w:rPr>
      </w:pPr>
      <w:r>
        <w:rPr>
          <w:rFonts w:hint="eastAsia" w:ascii="宋体" w:hAnsi="宋体" w:cs="宋体"/>
          <w:sz w:val="24"/>
          <w:highlight w:val="none"/>
        </w:rPr>
        <w:t>我方完全理解，采购人并无义务必须接受最低报价的竞投或其它任何竞投。</w:t>
      </w:r>
    </w:p>
    <w:p>
      <w:pPr>
        <w:numPr>
          <w:ilvl w:val="0"/>
          <w:numId w:val="12"/>
        </w:numPr>
        <w:tabs>
          <w:tab w:val="left" w:pos="0"/>
        </w:tabs>
        <w:spacing w:line="360" w:lineRule="auto"/>
        <w:ind w:left="5" w:firstLine="420" w:firstLineChars="175"/>
        <w:rPr>
          <w:rFonts w:hint="eastAsia" w:ascii="宋体" w:hAnsi="宋体" w:cs="宋体"/>
          <w:sz w:val="24"/>
          <w:highlight w:val="none"/>
        </w:rPr>
      </w:pPr>
      <w:r>
        <w:rPr>
          <w:rFonts w:hint="eastAsia" w:ascii="宋体" w:hAnsi="宋体" w:cs="宋体"/>
          <w:sz w:val="24"/>
          <w:highlight w:val="none"/>
        </w:rPr>
        <w:t>我方与其他竞投人不存在法定代表人或单位负责人为同一人或者存在直接控股、管理关系。</w:t>
      </w:r>
    </w:p>
    <w:p>
      <w:pPr>
        <w:numPr>
          <w:ilvl w:val="0"/>
          <w:numId w:val="12"/>
        </w:numPr>
        <w:tabs>
          <w:tab w:val="clear" w:pos="425"/>
        </w:tabs>
        <w:spacing w:line="360" w:lineRule="auto"/>
        <w:ind w:left="0" w:firstLine="420" w:firstLineChars="175"/>
        <w:rPr>
          <w:rFonts w:hint="eastAsia" w:ascii="宋体" w:hAnsi="宋体" w:cs="宋体"/>
          <w:sz w:val="24"/>
          <w:highlight w:val="none"/>
        </w:rPr>
      </w:pPr>
      <w:r>
        <w:rPr>
          <w:rFonts w:hint="eastAsia" w:ascii="宋体" w:hAnsi="宋体" w:cs="宋体"/>
          <w:sz w:val="24"/>
          <w:highlight w:val="none"/>
        </w:rPr>
        <w:t>如我方的竞投条件被接受，我方同意按照采购文件相关规定签署合同。</w:t>
      </w:r>
    </w:p>
    <w:p>
      <w:pPr>
        <w:spacing w:line="440" w:lineRule="exact"/>
        <w:rPr>
          <w:rFonts w:hint="eastAsia" w:ascii="宋体" w:hAnsi="宋体" w:cs="宋体"/>
          <w:bCs/>
          <w:sz w:val="24"/>
          <w:highlight w:val="none"/>
        </w:rPr>
      </w:pPr>
    </w:p>
    <w:p>
      <w:pPr>
        <w:spacing w:line="440" w:lineRule="exact"/>
        <w:rPr>
          <w:rFonts w:hint="eastAsia" w:ascii="宋体" w:hAnsi="宋体" w:cs="宋体"/>
          <w:bCs/>
          <w:sz w:val="24"/>
          <w:highlight w:val="none"/>
        </w:rPr>
      </w:pPr>
    </w:p>
    <w:p>
      <w:pPr>
        <w:spacing w:line="440" w:lineRule="exact"/>
        <w:rPr>
          <w:rFonts w:hint="eastAsia" w:ascii="宋体" w:hAnsi="宋体" w:cs="宋体"/>
          <w:bCs/>
          <w:sz w:val="24"/>
          <w:highlight w:val="none"/>
        </w:rPr>
      </w:pPr>
    </w:p>
    <w:p>
      <w:pPr>
        <w:spacing w:line="440" w:lineRule="exact"/>
        <w:ind w:firstLine="4320" w:firstLineChars="1800"/>
        <w:rPr>
          <w:rFonts w:hint="eastAsia" w:ascii="宋体" w:hAnsi="宋体" w:cs="宋体"/>
          <w:bCs/>
          <w:sz w:val="24"/>
          <w:highlight w:val="none"/>
        </w:rPr>
      </w:pPr>
      <w:r>
        <w:rPr>
          <w:rFonts w:hint="eastAsia" w:ascii="宋体" w:hAnsi="宋体" w:cs="宋体"/>
          <w:bCs/>
          <w:sz w:val="24"/>
          <w:highlight w:val="none"/>
        </w:rPr>
        <w:t>竞投人全称（加盖公章）:</w:t>
      </w:r>
    </w:p>
    <w:p>
      <w:pPr>
        <w:spacing w:before="120" w:after="120" w:line="440" w:lineRule="exact"/>
        <w:ind w:firstLine="3600" w:firstLineChars="1500"/>
        <w:rPr>
          <w:rFonts w:hint="eastAsia" w:ascii="宋体" w:hAnsi="宋体" w:cs="宋体"/>
          <w:bCs/>
          <w:sz w:val="24"/>
          <w:highlight w:val="none"/>
        </w:rPr>
      </w:pPr>
      <w:r>
        <w:rPr>
          <w:rFonts w:hint="eastAsia" w:ascii="宋体" w:hAnsi="宋体" w:cs="宋体"/>
          <w:bCs/>
          <w:sz w:val="24"/>
          <w:highlight w:val="none"/>
        </w:rPr>
        <w:t>日    期：         年      月     日</w:t>
      </w:r>
    </w:p>
    <w:p>
      <w:pPr>
        <w:widowControl/>
        <w:jc w:val="left"/>
        <w:rPr>
          <w:rFonts w:hint="eastAsia" w:ascii="宋体" w:hAnsi="宋体" w:cs="宋体"/>
          <w:b/>
          <w:szCs w:val="21"/>
          <w:highlight w:val="none"/>
        </w:rPr>
      </w:pPr>
      <w:r>
        <w:rPr>
          <w:rFonts w:hint="eastAsia" w:ascii="宋体" w:hAnsi="宋体" w:cs="宋体"/>
          <w:b/>
          <w:szCs w:val="21"/>
          <w:highlight w:val="none"/>
        </w:rPr>
        <w:br w:type="page"/>
      </w:r>
    </w:p>
    <w:p>
      <w:pPr>
        <w:rPr>
          <w:rFonts w:hint="eastAsia" w:ascii="宋体" w:hAnsi="宋体" w:cs="宋体"/>
          <w:b/>
          <w:szCs w:val="21"/>
          <w:highlight w:val="none"/>
        </w:rPr>
      </w:pPr>
    </w:p>
    <w:p>
      <w:pPr>
        <w:pStyle w:val="5"/>
        <w:spacing w:after="20"/>
        <w:rPr>
          <w:rFonts w:hint="eastAsia" w:ascii="宋体" w:hAnsi="宋体" w:eastAsia="宋体" w:cs="宋体"/>
          <w:sz w:val="28"/>
          <w:szCs w:val="28"/>
          <w:highlight w:val="none"/>
        </w:rPr>
      </w:pPr>
      <w:r>
        <w:rPr>
          <w:rFonts w:hint="eastAsia" w:ascii="宋体" w:hAnsi="宋体" w:eastAsia="宋体" w:cs="宋体"/>
          <w:b w:val="0"/>
          <w:sz w:val="24"/>
          <w:szCs w:val="24"/>
          <w:highlight w:val="none"/>
        </w:rPr>
        <w:t>附件2：法定代表人证明及授权书[格式]</w:t>
      </w:r>
    </w:p>
    <w:p>
      <w:pPr>
        <w:pStyle w:val="5"/>
        <w:jc w:val="center"/>
        <w:rPr>
          <w:rFonts w:hint="eastAsia" w:ascii="宋体" w:hAnsi="宋体" w:eastAsia="宋体" w:cs="宋体"/>
          <w:b w:val="0"/>
          <w:bCs w:val="0"/>
          <w:color w:val="000000"/>
          <w:highlight w:val="none"/>
        </w:rPr>
      </w:pPr>
      <w:r>
        <w:rPr>
          <w:rFonts w:hint="eastAsia" w:ascii="宋体" w:hAnsi="宋体" w:eastAsia="宋体" w:cs="宋体"/>
          <w:highlight w:val="none"/>
        </w:rPr>
        <w:t>法定代表人证明及授权书</w:t>
      </w:r>
    </w:p>
    <w:p>
      <w:pPr>
        <w:pStyle w:val="2"/>
        <w:spacing w:line="300" w:lineRule="auto"/>
        <w:ind w:firstLine="0"/>
        <w:rPr>
          <w:rFonts w:hint="eastAsia" w:hAnsi="宋体" w:cs="宋体"/>
          <w:bCs/>
          <w:color w:val="333333"/>
          <w:kern w:val="0"/>
          <w:szCs w:val="21"/>
          <w:highlight w:val="none"/>
        </w:rPr>
      </w:pPr>
      <w:r>
        <w:rPr>
          <w:rFonts w:hint="eastAsia" w:hAnsi="宋体" w:cs="宋体"/>
          <w:bCs/>
          <w:color w:val="333333"/>
          <w:kern w:val="0"/>
          <w:szCs w:val="21"/>
          <w:highlight w:val="none"/>
        </w:rPr>
        <w:t xml:space="preserve">致: </w:t>
      </w:r>
      <w:r>
        <w:rPr>
          <w:rFonts w:hint="eastAsia" w:hAnsi="宋体" w:cs="宋体"/>
          <w:color w:val="333333"/>
          <w:kern w:val="0"/>
          <w:highlight w:val="none"/>
        </w:rPr>
        <w:t>广州市城投资产经营管理有限公司</w:t>
      </w:r>
    </w:p>
    <w:p>
      <w:pPr>
        <w:pStyle w:val="2"/>
        <w:spacing w:line="300" w:lineRule="auto"/>
        <w:ind w:firstLine="420" w:firstLineChars="200"/>
        <w:rPr>
          <w:rFonts w:hint="eastAsia" w:hAnsi="宋体" w:cs="宋体"/>
          <w:color w:val="000000"/>
          <w:sz w:val="21"/>
          <w:szCs w:val="21"/>
          <w:highlight w:val="none"/>
        </w:rPr>
      </w:pPr>
    </w:p>
    <w:p>
      <w:pPr>
        <w:pStyle w:val="2"/>
        <w:ind w:firstLine="480" w:firstLineChars="200"/>
        <w:rPr>
          <w:rFonts w:hint="eastAsia" w:hAnsi="宋体" w:cs="宋体"/>
          <w:color w:val="000000"/>
          <w:szCs w:val="24"/>
          <w:highlight w:val="none"/>
        </w:rPr>
      </w:pPr>
      <w:r>
        <w:rPr>
          <w:rFonts w:hint="eastAsia" w:hAnsi="宋体" w:cs="宋体"/>
          <w:color w:val="000000"/>
          <w:szCs w:val="24"/>
          <w:highlight w:val="none"/>
        </w:rPr>
        <w:t>本授权证明：</w:t>
      </w:r>
      <w:r>
        <w:rPr>
          <w:rFonts w:hint="eastAsia" w:hAnsi="宋体" w:cs="宋体"/>
          <w:iCs/>
          <w:color w:val="000000"/>
          <w:szCs w:val="24"/>
          <w:highlight w:val="none"/>
          <w:u w:val="single"/>
        </w:rPr>
        <w:t xml:space="preserve">              </w:t>
      </w:r>
      <w:r>
        <w:rPr>
          <w:rFonts w:hint="eastAsia" w:hAnsi="宋体" w:cs="宋体"/>
          <w:color w:val="000000"/>
          <w:szCs w:val="24"/>
          <w:highlight w:val="none"/>
        </w:rPr>
        <w:t>（姓名）是注册于</w:t>
      </w:r>
      <w:r>
        <w:rPr>
          <w:rFonts w:hint="eastAsia" w:hAnsi="宋体" w:cs="宋体"/>
          <w:iCs/>
          <w:color w:val="000000"/>
          <w:szCs w:val="24"/>
          <w:highlight w:val="none"/>
          <w:u w:val="single"/>
        </w:rPr>
        <w:t xml:space="preserve">              </w:t>
      </w:r>
      <w:r>
        <w:rPr>
          <w:rFonts w:hint="eastAsia" w:hAnsi="宋体" w:cs="宋体"/>
          <w:color w:val="000000"/>
          <w:szCs w:val="24"/>
          <w:highlight w:val="none"/>
        </w:rPr>
        <w:t>（地点）的</w:t>
      </w:r>
      <w:r>
        <w:rPr>
          <w:rFonts w:hint="eastAsia" w:hAnsi="宋体" w:cs="宋体"/>
          <w:i/>
          <w:color w:val="000000"/>
          <w:szCs w:val="24"/>
          <w:highlight w:val="none"/>
          <w:u w:val="single"/>
        </w:rPr>
        <w:t xml:space="preserve">        </w:t>
      </w:r>
      <w:r>
        <w:rPr>
          <w:rFonts w:hint="eastAsia" w:hAnsi="宋体" w:cs="宋体"/>
          <w:color w:val="000000"/>
          <w:szCs w:val="24"/>
          <w:highlight w:val="none"/>
        </w:rPr>
        <w:t>公司法定代表人，现任</w:t>
      </w:r>
      <w:r>
        <w:rPr>
          <w:rFonts w:hint="eastAsia" w:hAnsi="宋体" w:cs="宋体"/>
          <w:iCs/>
          <w:color w:val="000000"/>
          <w:szCs w:val="24"/>
          <w:highlight w:val="none"/>
          <w:u w:val="single"/>
        </w:rPr>
        <w:t xml:space="preserve">         </w:t>
      </w:r>
      <w:r>
        <w:rPr>
          <w:rFonts w:hint="eastAsia" w:hAnsi="宋体" w:cs="宋体"/>
          <w:color w:val="000000"/>
          <w:szCs w:val="24"/>
          <w:highlight w:val="none"/>
        </w:rPr>
        <w:t>。在此授权</w:t>
      </w:r>
      <w:r>
        <w:rPr>
          <w:rFonts w:hint="eastAsia" w:hAnsi="宋体" w:cs="宋体"/>
          <w:iCs/>
          <w:color w:val="000000"/>
          <w:szCs w:val="24"/>
          <w:highlight w:val="none"/>
          <w:u w:val="single"/>
        </w:rPr>
        <w:t xml:space="preserve">                 </w:t>
      </w:r>
      <w:r>
        <w:rPr>
          <w:rFonts w:hint="eastAsia" w:hAnsi="宋体" w:cs="宋体"/>
          <w:color w:val="000000"/>
          <w:szCs w:val="24"/>
          <w:highlight w:val="none"/>
        </w:rPr>
        <w:t>作为我公司的全权代理人，在</w:t>
      </w:r>
      <w:r>
        <w:rPr>
          <w:rFonts w:hint="eastAsia" w:hAnsi="宋体" w:cs="宋体"/>
          <w:color w:val="000000"/>
          <w:szCs w:val="24"/>
          <w:highlight w:val="none"/>
          <w:u w:val="single"/>
        </w:rPr>
        <w:t xml:space="preserve">             </w:t>
      </w:r>
      <w:r>
        <w:rPr>
          <w:rFonts w:hint="eastAsia" w:hAnsi="宋体" w:cs="宋体"/>
          <w:color w:val="000000"/>
          <w:szCs w:val="24"/>
          <w:highlight w:val="none"/>
        </w:rPr>
        <w:t>的竞选及其合同执行过程中，以我公司的名义处理一切与之有关的事务。</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本授权书于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日起签字生效，特此声明。</w:t>
      </w:r>
    </w:p>
    <w:p>
      <w:pPr>
        <w:spacing w:line="300" w:lineRule="auto"/>
        <w:rPr>
          <w:rFonts w:hint="eastAsia" w:ascii="宋体" w:hAnsi="宋体" w:cs="宋体"/>
          <w:color w:val="000000"/>
          <w:sz w:val="24"/>
          <w:highlight w:val="none"/>
        </w:rPr>
      </w:pPr>
    </w:p>
    <w:p>
      <w:pPr>
        <w:spacing w:line="300" w:lineRule="auto"/>
        <w:ind w:firstLine="120" w:firstLineChars="50"/>
        <w:rPr>
          <w:rFonts w:hint="eastAsia" w:ascii="宋体" w:hAnsi="宋体" w:cs="宋体"/>
          <w:color w:val="000000"/>
          <w:sz w:val="24"/>
          <w:highlight w:val="none"/>
        </w:rPr>
      </w:pPr>
    </w:p>
    <w:p>
      <w:pPr>
        <w:spacing w:line="300" w:lineRule="auto"/>
        <w:ind w:firstLine="120" w:firstLineChars="50"/>
        <w:rPr>
          <w:rFonts w:hint="eastAsia" w:ascii="宋体" w:hAnsi="宋体" w:cs="宋体"/>
          <w:color w:val="000000"/>
          <w:sz w:val="24"/>
          <w:highlight w:val="none"/>
        </w:rPr>
      </w:pPr>
    </w:p>
    <w:p>
      <w:pPr>
        <w:spacing w:line="300" w:lineRule="auto"/>
        <w:ind w:firstLine="120" w:firstLineChars="50"/>
        <w:rPr>
          <w:rFonts w:hint="eastAsia" w:ascii="宋体" w:hAnsi="宋体" w:cs="宋体"/>
          <w:color w:val="000000"/>
          <w:sz w:val="24"/>
          <w:highlight w:val="none"/>
        </w:rPr>
      </w:pPr>
    </w:p>
    <w:p>
      <w:pPr>
        <w:spacing w:line="360" w:lineRule="auto"/>
        <w:ind w:firstLine="4920" w:firstLineChars="2050"/>
        <w:rPr>
          <w:rFonts w:hint="eastAsia" w:ascii="宋体" w:hAnsi="宋体" w:cs="宋体"/>
          <w:color w:val="000000"/>
          <w:sz w:val="24"/>
          <w:highlight w:val="none"/>
        </w:rPr>
      </w:pPr>
      <w:r>
        <w:rPr>
          <w:rFonts w:hint="eastAsia" w:ascii="宋体" w:hAnsi="宋体" w:cs="宋体"/>
          <w:color w:val="000000"/>
          <w:sz w:val="24"/>
          <w:highlight w:val="none"/>
        </w:rPr>
        <w:t xml:space="preserve">竞投人全称（公章）： </w:t>
      </w:r>
    </w:p>
    <w:p>
      <w:pPr>
        <w:spacing w:line="360" w:lineRule="auto"/>
        <w:ind w:firstLine="4920" w:firstLineChars="2050"/>
        <w:rPr>
          <w:rFonts w:hint="eastAsia"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bCs/>
          <w:color w:val="000000"/>
          <w:sz w:val="24"/>
          <w:highlight w:val="none"/>
        </w:rPr>
        <w:t>签字</w:t>
      </w:r>
      <w:r>
        <w:rPr>
          <w:rFonts w:hint="eastAsia" w:ascii="宋体" w:hAnsi="宋体" w:cs="宋体"/>
          <w:color w:val="000000"/>
          <w:sz w:val="24"/>
          <w:highlight w:val="none"/>
        </w:rPr>
        <w:t xml:space="preserve">）：        </w:t>
      </w:r>
    </w:p>
    <w:p>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 xml:space="preserve">                  被授权人(竞投人授权代表)（</w:t>
      </w:r>
      <w:r>
        <w:rPr>
          <w:rFonts w:hint="eastAsia" w:ascii="宋体" w:hAnsi="宋体" w:cs="宋体"/>
          <w:bCs/>
          <w:color w:val="000000"/>
          <w:sz w:val="24"/>
          <w:highlight w:val="none"/>
        </w:rPr>
        <w:t>签字</w:t>
      </w:r>
      <w:r>
        <w:rPr>
          <w:rFonts w:hint="eastAsia" w:ascii="宋体" w:hAnsi="宋体" w:cs="宋体"/>
          <w:color w:val="000000"/>
          <w:sz w:val="24"/>
          <w:highlight w:val="none"/>
        </w:rPr>
        <w:t>）：</w:t>
      </w:r>
    </w:p>
    <w:p>
      <w:pPr>
        <w:spacing w:line="360" w:lineRule="auto"/>
        <w:ind w:firstLine="105" w:firstLineChars="50"/>
        <w:rPr>
          <w:rFonts w:hint="eastAsia" w:ascii="宋体" w:hAnsi="宋体" w:cs="宋体"/>
          <w:color w:val="000000"/>
          <w:szCs w:val="21"/>
          <w:highlight w:val="none"/>
        </w:rPr>
      </w:pPr>
    </w:p>
    <w:p>
      <w:pPr>
        <w:spacing w:line="360" w:lineRule="auto"/>
        <w:ind w:firstLine="120" w:firstLineChars="50"/>
        <w:rPr>
          <w:rFonts w:hint="eastAsia" w:ascii="宋体" w:hAnsi="宋体" w:cs="宋体"/>
          <w:color w:val="000000"/>
          <w:sz w:val="24"/>
          <w:highlight w:val="none"/>
        </w:rPr>
      </w:pPr>
    </w:p>
    <w:p>
      <w:pPr>
        <w:spacing w:line="360" w:lineRule="auto"/>
        <w:ind w:firstLine="120" w:firstLineChars="50"/>
        <w:rPr>
          <w:rFonts w:hint="eastAsia" w:ascii="宋体" w:hAnsi="宋体" w:cs="宋体"/>
          <w:color w:val="000000"/>
          <w:sz w:val="24"/>
          <w:highlight w:val="none"/>
        </w:rPr>
      </w:pPr>
    </w:p>
    <w:p>
      <w:pPr>
        <w:spacing w:line="360" w:lineRule="auto"/>
        <w:ind w:firstLine="120" w:firstLineChars="50"/>
        <w:rPr>
          <w:rFonts w:hint="eastAsia" w:ascii="宋体" w:hAnsi="宋体" w:cs="宋体"/>
          <w:color w:val="000000"/>
          <w:sz w:val="24"/>
          <w:highlight w:val="none"/>
        </w:rPr>
      </w:pPr>
    </w:p>
    <w:p>
      <w:pPr>
        <w:spacing w:line="360" w:lineRule="auto"/>
        <w:ind w:firstLine="120" w:firstLineChars="50"/>
        <w:rPr>
          <w:rFonts w:hint="eastAsia" w:ascii="宋体" w:hAnsi="宋体" w:cs="宋体"/>
          <w:color w:val="000000"/>
          <w:sz w:val="24"/>
          <w:highlight w:val="none"/>
        </w:rPr>
      </w:pPr>
    </w:p>
    <w:p>
      <w:pPr>
        <w:spacing w:line="360" w:lineRule="auto"/>
        <w:ind w:firstLine="120" w:firstLineChars="50"/>
        <w:rPr>
          <w:rFonts w:hint="eastAsia" w:ascii="宋体" w:hAnsi="宋体" w:cs="宋体"/>
          <w:color w:val="000000"/>
          <w:sz w:val="24"/>
          <w:highlight w:val="none"/>
        </w:rPr>
      </w:pPr>
    </w:p>
    <w:p>
      <w:pPr>
        <w:spacing w:line="360" w:lineRule="auto"/>
        <w:ind w:firstLine="120" w:firstLineChars="50"/>
        <w:rPr>
          <w:rFonts w:hint="eastAsia" w:ascii="宋体" w:hAnsi="宋体" w:cs="宋体"/>
          <w:color w:val="000000"/>
          <w:sz w:val="24"/>
          <w:highlight w:val="none"/>
        </w:rPr>
      </w:pPr>
      <w:r>
        <w:rPr>
          <w:rFonts w:hint="eastAsia" w:ascii="宋体" w:hAnsi="宋体" w:cs="宋体"/>
          <w:color w:val="000000"/>
          <w:sz w:val="24"/>
          <w:highlight w:val="none"/>
        </w:rPr>
        <w:t>法定代表人及被授权人身份证复印件（正反面）：</w:t>
      </w:r>
    </w:p>
    <w:p>
      <w:pPr>
        <w:spacing w:line="300" w:lineRule="auto"/>
        <w:ind w:firstLine="105" w:firstLineChars="50"/>
        <w:rPr>
          <w:rFonts w:hint="eastAsia" w:ascii="宋体" w:hAnsi="宋体" w:cs="宋体"/>
          <w:color w:val="000000"/>
          <w:szCs w:val="21"/>
          <w:highlight w:val="none"/>
        </w:rPr>
      </w:pPr>
    </w:p>
    <w:p>
      <w:pPr>
        <w:spacing w:line="300" w:lineRule="auto"/>
        <w:ind w:firstLine="105" w:firstLineChars="50"/>
        <w:rPr>
          <w:rFonts w:hint="eastAsia" w:ascii="宋体" w:hAnsi="宋体" w:cs="宋体"/>
          <w:color w:val="000000"/>
          <w:szCs w:val="21"/>
          <w:highlight w:val="none"/>
        </w:rPr>
      </w:pPr>
    </w:p>
    <w:p>
      <w:pPr>
        <w:spacing w:line="300" w:lineRule="auto"/>
        <w:ind w:firstLine="105" w:firstLineChars="50"/>
        <w:rPr>
          <w:rFonts w:hint="eastAsia" w:ascii="宋体" w:hAnsi="宋体" w:cs="宋体"/>
          <w:color w:val="000000"/>
          <w:szCs w:val="21"/>
          <w:highlight w:val="none"/>
        </w:rPr>
      </w:pPr>
    </w:p>
    <w:p>
      <w:pPr>
        <w:spacing w:line="300" w:lineRule="auto"/>
        <w:ind w:firstLine="105" w:firstLineChars="50"/>
        <w:rPr>
          <w:rFonts w:hint="eastAsia" w:ascii="宋体" w:hAnsi="宋体" w:cs="宋体"/>
          <w:color w:val="000000"/>
          <w:szCs w:val="21"/>
          <w:highlight w:val="none"/>
        </w:rPr>
      </w:pPr>
    </w:p>
    <w:p>
      <w:pPr>
        <w:pStyle w:val="5"/>
        <w:spacing w:before="120"/>
        <w:rPr>
          <w:rFonts w:hint="eastAsia" w:ascii="宋体" w:hAnsi="宋体" w:eastAsia="宋体" w:cs="宋体"/>
          <w:sz w:val="21"/>
          <w:szCs w:val="21"/>
          <w:highlight w:val="none"/>
        </w:rPr>
      </w:pPr>
      <w:r>
        <w:rPr>
          <w:rFonts w:hint="eastAsia" w:ascii="宋体" w:hAnsi="宋体" w:eastAsia="宋体" w:cs="宋体"/>
          <w:b w:val="0"/>
          <w:sz w:val="24"/>
          <w:szCs w:val="24"/>
          <w:highlight w:val="none"/>
        </w:rPr>
        <w:t>附件3：报价汇总表</w:t>
      </w:r>
    </w:p>
    <w:p>
      <w:pPr>
        <w:widowControl/>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2026年度城享慧商业会员系统建设与运营服务项目</w:t>
      </w:r>
    </w:p>
    <w:tbl>
      <w:tblPr>
        <w:tblStyle w:val="2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3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项目名称</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2026年度城享慧商业会员系统建设与运营服务项目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83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总报价（元）</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拆分至各部门/项目报价</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经营公司本部</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 w:type="dxa"/>
            <w:vMerge w:val="continue"/>
            <w:tcBorders>
              <w:left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花城汇</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 w:type="dxa"/>
            <w:vMerge w:val="continue"/>
            <w:tcBorders>
              <w:left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城壹汇北京路店</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 w:type="dxa"/>
            <w:vMerge w:val="continue"/>
            <w:tcBorders>
              <w:left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流花中心&amp;城壹汇流花</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 w:type="dxa"/>
            <w:vMerge w:val="continue"/>
            <w:tcBorders>
              <w:left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天河新天地</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 w:type="dxa"/>
            <w:vMerge w:val="continue"/>
            <w:tcBorders>
              <w:left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南站新天地</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 w:type="dxa"/>
            <w:vMerge w:val="continue"/>
            <w:tcBorders>
              <w:left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2"/>
                <w:szCs w:val="22"/>
                <w:highlight w:val="none"/>
              </w:rPr>
            </w:pPr>
            <w:r>
              <w:rPr>
                <w:rFonts w:hint="eastAsia" w:ascii="宋体" w:hAnsi="宋体" w:cs="宋体"/>
                <w:bCs/>
                <w:sz w:val="22"/>
                <w:szCs w:val="22"/>
                <w:highlight w:val="none"/>
              </w:rPr>
              <w:t>花果山超高清视频产业特色小镇</w:t>
            </w:r>
          </w:p>
        </w:tc>
        <w:tc>
          <w:tcPr>
            <w:tcW w:w="6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 xml:space="preserve">大写：                        </w:t>
            </w:r>
          </w:p>
          <w:p>
            <w:pPr>
              <w:autoSpaceDE w:val="0"/>
              <w:autoSpaceDN w:val="0"/>
              <w:adjustRightInd w:val="0"/>
              <w:spacing w:line="360" w:lineRule="auto"/>
              <w:rPr>
                <w:rFonts w:hint="eastAsia" w:ascii="宋体" w:hAnsi="宋体" w:cs="宋体"/>
                <w:bCs/>
                <w:sz w:val="22"/>
                <w:szCs w:val="22"/>
                <w:highlight w:val="none"/>
              </w:rPr>
            </w:pPr>
            <w:r>
              <w:rPr>
                <w:rFonts w:hint="eastAsia" w:ascii="宋体" w:hAnsi="宋体" w:cs="宋体"/>
                <w:bCs/>
                <w:sz w:val="22"/>
                <w:szCs w:val="22"/>
                <w:highlight w:val="none"/>
              </w:rPr>
              <w:t>小写：        元（其中，不含税价格      元，增值税税费     元，税率       %）</w:t>
            </w:r>
          </w:p>
        </w:tc>
      </w:tr>
    </w:tbl>
    <w:p>
      <w:pPr>
        <w:widowControl/>
        <w:spacing w:line="440" w:lineRule="exact"/>
        <w:jc w:val="center"/>
        <w:rPr>
          <w:rFonts w:hint="eastAsia" w:ascii="宋体" w:hAnsi="宋体" w:cs="宋体"/>
          <w:bCs/>
          <w:sz w:val="24"/>
          <w:highlight w:val="none"/>
        </w:rPr>
      </w:pPr>
    </w:p>
    <w:p>
      <w:pPr>
        <w:spacing w:line="360" w:lineRule="auto"/>
        <w:ind w:left="706" w:hanging="705" w:hangingChars="294"/>
        <w:jc w:val="left"/>
        <w:rPr>
          <w:rFonts w:hint="eastAsia" w:ascii="宋体" w:hAnsi="宋体" w:cs="宋体"/>
          <w:bCs/>
          <w:sz w:val="24"/>
          <w:highlight w:val="none"/>
        </w:rPr>
      </w:pPr>
    </w:p>
    <w:p>
      <w:pPr>
        <w:widowControl/>
        <w:spacing w:line="440" w:lineRule="exact"/>
        <w:jc w:val="center"/>
        <w:rPr>
          <w:rFonts w:hint="eastAsia" w:ascii="宋体" w:hAnsi="宋体" w:cs="宋体"/>
          <w:bCs/>
          <w:sz w:val="24"/>
          <w:highlight w:val="none"/>
        </w:rPr>
      </w:pPr>
    </w:p>
    <w:p>
      <w:pPr>
        <w:spacing w:line="360" w:lineRule="auto"/>
        <w:ind w:left="706" w:hanging="705" w:hangingChars="294"/>
        <w:jc w:val="left"/>
        <w:rPr>
          <w:rFonts w:hint="eastAsia" w:ascii="宋体" w:hAnsi="宋体" w:cs="宋体"/>
          <w:bCs/>
          <w:sz w:val="24"/>
          <w:highlight w:val="none"/>
        </w:rPr>
      </w:pPr>
    </w:p>
    <w:p>
      <w:pPr>
        <w:spacing w:line="360" w:lineRule="auto"/>
        <w:ind w:left="706" w:hanging="705" w:hangingChars="294"/>
        <w:jc w:val="left"/>
        <w:rPr>
          <w:rFonts w:hint="eastAsia" w:ascii="宋体" w:hAnsi="宋体" w:cs="宋体"/>
          <w:bCs/>
          <w:sz w:val="24"/>
          <w:highlight w:val="none"/>
        </w:rPr>
      </w:pPr>
      <w:r>
        <w:rPr>
          <w:rFonts w:hint="eastAsia" w:ascii="宋体" w:hAnsi="宋体" w:cs="宋体"/>
          <w:bCs/>
          <w:sz w:val="24"/>
          <w:highlight w:val="none"/>
        </w:rPr>
        <w:t xml:space="preserve">注：1.此表为完成采购项目所有服务内容的总报价表。    </w:t>
      </w:r>
    </w:p>
    <w:p>
      <w:pPr>
        <w:spacing w:line="360" w:lineRule="auto"/>
        <w:ind w:left="643" w:leftChars="199" w:hanging="225" w:hangingChars="94"/>
        <w:jc w:val="left"/>
        <w:rPr>
          <w:rFonts w:hint="eastAsia" w:ascii="宋体" w:hAnsi="宋体" w:cs="宋体"/>
          <w:bCs/>
          <w:sz w:val="24"/>
          <w:highlight w:val="none"/>
        </w:rPr>
      </w:pPr>
      <w:r>
        <w:rPr>
          <w:rFonts w:hint="eastAsia" w:ascii="宋体" w:hAnsi="宋体" w:cs="宋体"/>
          <w:bCs/>
          <w:sz w:val="24"/>
          <w:highlight w:val="none"/>
        </w:rPr>
        <w:t xml:space="preserve"> 2.竞投人应按采购文件的要求，根据实际情况进行报价。本表内的竞投总价为最终报价，竞投文件内不得含有任何对本报价进行修改的其他说明，否则将被视为无效竞投；</w:t>
      </w:r>
    </w:p>
    <w:p>
      <w:pPr>
        <w:spacing w:line="360" w:lineRule="auto"/>
        <w:ind w:left="706" w:hanging="705" w:hangingChars="294"/>
        <w:jc w:val="left"/>
        <w:rPr>
          <w:rFonts w:hint="eastAsia" w:ascii="宋体" w:hAnsi="宋体" w:cs="宋体"/>
          <w:bCs/>
          <w:sz w:val="24"/>
          <w:highlight w:val="none"/>
        </w:rPr>
      </w:pPr>
      <w:r>
        <w:rPr>
          <w:rFonts w:hint="eastAsia" w:ascii="宋体" w:hAnsi="宋体" w:cs="宋体"/>
          <w:bCs/>
          <w:sz w:val="24"/>
          <w:highlight w:val="none"/>
        </w:rPr>
        <w:t xml:space="preserve">     3.竞投总报价包括了竞投人完成本项目所需的一切工作内容而发生的所有费用；</w:t>
      </w:r>
    </w:p>
    <w:p>
      <w:pPr>
        <w:spacing w:line="360" w:lineRule="auto"/>
        <w:ind w:left="706" w:hanging="705" w:hangingChars="294"/>
        <w:jc w:val="left"/>
        <w:rPr>
          <w:rFonts w:hint="eastAsia" w:ascii="宋体" w:hAnsi="宋体" w:cs="宋体"/>
          <w:bCs/>
          <w:sz w:val="24"/>
          <w:highlight w:val="none"/>
        </w:rPr>
      </w:pPr>
      <w:r>
        <w:rPr>
          <w:rFonts w:hint="eastAsia" w:ascii="宋体" w:hAnsi="宋体" w:cs="宋体"/>
          <w:bCs/>
          <w:sz w:val="24"/>
          <w:highlight w:val="none"/>
        </w:rPr>
        <w:t xml:space="preserve">     4.本竞投价为固定不变价；</w:t>
      </w:r>
    </w:p>
    <w:p>
      <w:pPr>
        <w:spacing w:line="360" w:lineRule="auto"/>
        <w:ind w:left="706" w:hanging="705" w:hangingChars="294"/>
        <w:jc w:val="left"/>
        <w:rPr>
          <w:rFonts w:hint="eastAsia" w:ascii="宋体" w:hAnsi="宋体" w:cs="宋体"/>
          <w:bCs/>
          <w:sz w:val="24"/>
          <w:highlight w:val="none"/>
        </w:rPr>
      </w:pPr>
      <w:r>
        <w:rPr>
          <w:rFonts w:hint="eastAsia" w:ascii="宋体" w:hAnsi="宋体" w:cs="宋体"/>
          <w:bCs/>
          <w:sz w:val="24"/>
          <w:highlight w:val="none"/>
        </w:rPr>
        <w:t xml:space="preserve">     5.报价以人民币元为单位，保留小数点后两位。</w:t>
      </w:r>
    </w:p>
    <w:p>
      <w:pPr>
        <w:spacing w:line="348" w:lineRule="auto"/>
        <w:rPr>
          <w:rFonts w:hint="eastAsia" w:ascii="宋体" w:hAnsi="宋体" w:cs="宋体"/>
          <w:bCs/>
          <w:sz w:val="24"/>
          <w:highlight w:val="none"/>
        </w:rPr>
      </w:pPr>
      <w:r>
        <w:rPr>
          <w:rFonts w:hint="eastAsia" w:ascii="宋体" w:hAnsi="宋体" w:cs="宋体"/>
          <w:bCs/>
          <w:sz w:val="24"/>
          <w:highlight w:val="none"/>
        </w:rPr>
        <w:t xml:space="preserve">  </w:t>
      </w:r>
    </w:p>
    <w:p>
      <w:pPr>
        <w:spacing w:line="440" w:lineRule="exact"/>
        <w:ind w:firstLine="240" w:firstLineChars="100"/>
        <w:rPr>
          <w:rFonts w:hint="eastAsia" w:ascii="宋体" w:hAnsi="宋体" w:cs="宋体"/>
          <w:bCs/>
          <w:sz w:val="24"/>
          <w:highlight w:val="none"/>
        </w:rPr>
      </w:pPr>
      <w:r>
        <w:rPr>
          <w:rFonts w:hint="eastAsia" w:ascii="宋体" w:hAnsi="宋体" w:cs="宋体"/>
          <w:bCs/>
          <w:sz w:val="24"/>
          <w:highlight w:val="none"/>
        </w:rPr>
        <w:t>竞投人全称（公章）：</w:t>
      </w:r>
    </w:p>
    <w:p>
      <w:pPr>
        <w:spacing w:before="120" w:after="120" w:line="440" w:lineRule="exact"/>
        <w:ind w:firstLine="240" w:firstLineChars="100"/>
        <w:rPr>
          <w:rFonts w:hint="eastAsia" w:ascii="宋体" w:hAnsi="宋体" w:cs="宋体"/>
          <w:bCs/>
          <w:sz w:val="24"/>
          <w:highlight w:val="none"/>
        </w:rPr>
      </w:pPr>
      <w:r>
        <w:rPr>
          <w:rFonts w:hint="eastAsia" w:ascii="宋体" w:hAnsi="宋体" w:cs="宋体"/>
          <w:bCs/>
          <w:sz w:val="24"/>
          <w:highlight w:val="none"/>
        </w:rPr>
        <w:t>日    期：         年      月     日</w:t>
      </w:r>
    </w:p>
    <w:p>
      <w:pPr>
        <w:pStyle w:val="5"/>
        <w:spacing w:before="140"/>
        <w:rPr>
          <w:rFonts w:hint="eastAsia" w:ascii="宋体" w:hAnsi="宋体" w:eastAsia="宋体" w:cs="宋体"/>
          <w:b w:val="0"/>
          <w:sz w:val="24"/>
          <w:szCs w:val="24"/>
          <w:highlight w:val="none"/>
        </w:rPr>
      </w:pPr>
    </w:p>
    <w:p>
      <w:pPr>
        <w:rPr>
          <w:rFonts w:hint="eastAsia" w:ascii="宋体" w:hAnsi="宋体" w:cs="宋体"/>
          <w:sz w:val="24"/>
          <w:highlight w:val="none"/>
        </w:rPr>
      </w:pPr>
    </w:p>
    <w:p>
      <w:pPr>
        <w:pStyle w:val="13"/>
        <w:spacing w:before="156"/>
        <w:rPr>
          <w:rFonts w:hint="eastAsia" w:ascii="宋体" w:hAnsi="宋体" w:eastAsia="宋体" w:cs="宋体"/>
          <w:sz w:val="24"/>
          <w:szCs w:val="24"/>
          <w:highlight w:val="none"/>
        </w:rPr>
      </w:pPr>
    </w:p>
    <w:p>
      <w:pPr>
        <w:pStyle w:val="14"/>
        <w:rPr>
          <w:rFonts w:hint="eastAsia" w:hAnsi="宋体" w:cs="宋体"/>
          <w:sz w:val="24"/>
          <w:szCs w:val="24"/>
          <w:highlight w:val="none"/>
        </w:rPr>
      </w:pPr>
    </w:p>
    <w:p>
      <w:pPr>
        <w:widowControl/>
        <w:jc w:val="left"/>
        <w:rPr>
          <w:rFonts w:hint="eastAsia" w:ascii="宋体" w:hAnsi="宋体" w:cs="宋体"/>
          <w:sz w:val="24"/>
          <w:highlight w:val="none"/>
        </w:rPr>
      </w:pPr>
      <w:r>
        <w:rPr>
          <w:rFonts w:hint="eastAsia" w:hAnsi="宋体" w:cs="宋体"/>
          <w:highlight w:val="none"/>
        </w:rPr>
        <w:br w:type="page"/>
      </w:r>
    </w:p>
    <w:p>
      <w:pPr>
        <w:pStyle w:val="3"/>
        <w:rPr>
          <w:highlight w:val="none"/>
        </w:rPr>
        <w:sectPr>
          <w:footerReference r:id="rId15" w:type="default"/>
          <w:pgSz w:w="11906" w:h="16838"/>
          <w:pgMar w:top="1440" w:right="1800" w:bottom="1440" w:left="1800" w:header="851" w:footer="992" w:gutter="0"/>
          <w:cols w:space="720" w:num="1"/>
          <w:docGrid w:type="lines" w:linePitch="312" w:charSpace="0"/>
        </w:sectPr>
      </w:pPr>
    </w:p>
    <w:tbl>
      <w:tblPr>
        <w:tblStyle w:val="27"/>
        <w:tblW w:w="14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6"/>
        <w:gridCol w:w="397"/>
        <w:gridCol w:w="824"/>
        <w:gridCol w:w="5566"/>
        <w:gridCol w:w="6"/>
        <w:gridCol w:w="357"/>
        <w:gridCol w:w="315"/>
        <w:gridCol w:w="678"/>
        <w:gridCol w:w="698"/>
        <w:gridCol w:w="869"/>
        <w:gridCol w:w="881"/>
        <w:gridCol w:w="828"/>
        <w:gridCol w:w="101"/>
        <w:gridCol w:w="998"/>
        <w:gridCol w:w="889"/>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14681" w:type="dxa"/>
            <w:gridSpan w:val="1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36"/>
                <w:szCs w:val="36"/>
                <w:highlight w:val="none"/>
                <w:u w:val="none"/>
              </w:rPr>
            </w:pPr>
            <w:r>
              <w:rPr>
                <w:rFonts w:hint="eastAsia" w:ascii="仿宋" w:hAnsi="仿宋" w:eastAsia="仿宋" w:cs="仿宋"/>
                <w:b/>
                <w:i w:val="0"/>
                <w:color w:val="000000"/>
                <w:kern w:val="0"/>
                <w:sz w:val="36"/>
                <w:szCs w:val="36"/>
                <w:highlight w:val="none"/>
                <w:u w:val="none"/>
                <w:lang w:val="en-US" w:eastAsia="zh-CN" w:bidi="ar"/>
              </w:rPr>
              <w:t>2026年度城享慧商业会员系统建设与运营服务报价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FCE4D3"/>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功能/服务说明</w:t>
            </w:r>
          </w:p>
        </w:tc>
        <w:tc>
          <w:tcPr>
            <w:tcW w:w="7632" w:type="dxa"/>
            <w:gridSpan w:val="11"/>
            <w:tcBorders>
              <w:top w:val="single" w:color="000000" w:sz="4" w:space="0"/>
              <w:left w:val="single" w:color="000000" w:sz="4" w:space="0"/>
              <w:bottom w:val="single" w:color="000000" w:sz="4" w:space="0"/>
              <w:right w:val="single" w:color="000000" w:sz="4" w:space="0"/>
            </w:tcBorders>
            <w:shd w:val="clear" w:color="auto" w:fill="FCE4D3"/>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序号</w:t>
            </w:r>
          </w:p>
        </w:tc>
        <w:tc>
          <w:tcPr>
            <w:tcW w:w="39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功能分类</w:t>
            </w:r>
          </w:p>
        </w:tc>
        <w:tc>
          <w:tcPr>
            <w:tcW w:w="82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w:t>
            </w:r>
          </w:p>
        </w:tc>
        <w:tc>
          <w:tcPr>
            <w:tcW w:w="556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功能说明</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单位</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总部</w:t>
            </w:r>
          </w:p>
        </w:tc>
        <w:tc>
          <w:tcPr>
            <w:tcW w:w="869"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花城汇</w:t>
            </w:r>
          </w:p>
        </w:tc>
        <w:tc>
          <w:tcPr>
            <w:tcW w:w="881"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流花中心</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/城壹汇流花</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天河</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新天地</w:t>
            </w:r>
          </w:p>
        </w:tc>
        <w:tc>
          <w:tcPr>
            <w:tcW w:w="998"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城壹汇</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北京路</w:t>
            </w:r>
          </w:p>
        </w:tc>
        <w:tc>
          <w:tcPr>
            <w:tcW w:w="889"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南站</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新天地</w:t>
            </w:r>
          </w:p>
        </w:tc>
        <w:tc>
          <w:tcPr>
            <w:tcW w:w="1018"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花果山</w:t>
            </w:r>
          </w:p>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后端功能</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会员注册&amp;登录</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支持用户手机号快捷登录，对接城享慧原系统注册接口，实现数据统一留存。</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会员积分&amp;优惠券</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支持会员积分数量、优惠券状态展示，对接城享慧原系统积分及优惠券接口，实现数据统一留存。每个ID兑换后N天不使用优惠券失效，积分自动退回。</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会员信息&amp;手册</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支持会员线上查看个人信息，编辑个人信息，包括会员头像、昵称、性别、生日。</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首页Banner轮播</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支持动态展示banner轮播广告，匹配后台配置图片及链接，实现小程序跳转、推文跳转等方式。</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5</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品牌导览</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支持入驻品牌信息展示，含门店图、电话及简介等。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6</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支持上架商品，包含实物商品、优惠券、停车券、线下自提商品等。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7</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停车缴费</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支持链接花城汇、流花中心等项目停车缴费系统，实现跳转缴费。</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8</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无感积分（支付宝&amp;微信）</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支持开通微信/支付宝无感积分，用户在已开通的商户消费，支持积分自动到账。</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9</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小票积分（拍照积分）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支持用户拍照上传，人工审核后向会员账号派发积分。</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10</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签到积分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支持用户每日签到获积分奖励，支持常规签到（每日签到获得固定积分），与递增型签到（连续签到获得递增积分奖励，支持设置递增的积分奖励上限）</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11</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活动报名</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支持线上/线下开展DIY活动或其他活动，用户通过报名参与。</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12</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项目介绍</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支持项目写字楼详情静态展示，含轮播图、面积、楼盘信息、亮点、导航地址等，并提供分享、预约、咨询等服务。</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13</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场地租赁</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支持上传场地信息静态介绍，含场地轮播图、配置及介绍、门店导航地址，并支持设置添加预约联系方式。</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14</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微信客服（或企微客服）</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支持接入微信客服，方便用户咨询客服。可根据项目需要替换为各自项目企微客服。</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15</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开宝箱抽奖</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次（可设置）抽奖机会，点击宝箱即可进行抽奖，可设置通过分享海报增加抽奖次数。</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16</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扭蛋机抽奖</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次（可设置）扭蛋机会，点击扭蛋即可进行抽奖，可设置通过分享海报增加抽奖次数。</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17</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九宫格抽奖</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用户初始有 n 次（可设置）抽奖机会，点击开始即可进行抽奖，可设置通过分享海报增加抽奖次数。</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18</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积分红包活动（企微）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积分红包可用于企业的企微社群内进行发放类似微信群红包，发出为随机金额的积分。可批量根据社群人数自动配额生成等比的积分红包，可限制领取用户处于指定群。</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19</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幸运集卡活动</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用户领卡后获得抽奖卡号，号码将自动参与每期的抽奖，同时邀请好友参与活动，好友领号后，将会与用户自动绑定好友关系，共享好友的幸运号，好友中奖，邀请者也会中奖。</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20</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消费达标并成功积分可抽奖</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支持对接会员系统会员消费数据，实现对会员消费金额的判断，支持按照活动需要配置指定金额，消费达到指定金额即可抽奖，奖品支持配置。（以微信无感积分/支付宝无感积分的订单为准）。</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21</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定向派发优惠券</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基于会员手机号，支持向特定人群精准派发优惠券。</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22</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微信订阅通知</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支持用户订阅通知服务，后续如抽奖提醒、活动开始、活动中奖、小票审核、预约结果等均可获通知，需城享慧系统支持。</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23</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停车优惠券</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支持上线不同等级/积分额度/时长的停车优惠券，基于停车缴费系统功能。</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24</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积分抵扣停车费</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基于城享慧已有功能，实现直接抵扣积分即可出场，基于停车缴费系统功能。</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4"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25</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前端页面设计</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项目需求定制整体前端页面，在各项目统一整体页面布局的基础上根据项目需求设计不同的配图，匹配城投商管品牌调性及各项目需求。设计包括小程序首页、小程序栏目页、小程序个人页等小程序所有页面。</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26</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前端页面开发</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根据项目前端设计稿进行前端页面开发还原，包括banner轮播效果、活动展示效果、UGC呈现效果等。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27</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接口对接</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注册接口对接</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优先对接城享慧原系统注册接口，实现各项目注册数据统一、会员身份统一等。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28</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积分接口对接</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优先对接城享慧原系统积分接口，实现各项目积分数据统一、动态变化数据呈现。</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29</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优惠券接口对接</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优先对接城享慧系统原优惠券接口，实现各项目会员活动派发城享慧优惠券。</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30</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项目停车系统对接</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对接项目停车系统，实现会员停车缴费跳转（同步支持花城汇停车券抵扣、城享慧原有积分抵扣功能，需原停车系统功能支持）。</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31</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项目企微对接</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对接项目企微，实现实现会员是否添加企微的判断，并应用到会员营销活动。</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32</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项目公众号对接</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对接项目公众号，同步公众号推文封面、标题等信息，实现项目公众号资讯动态更新展示。</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33</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系统升级</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系统升级覆盖子项目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针对系统已具备功能进行升级，对接城享慧多个接口，实现各子项目使用功能正常（包括积分商城、小票积分、无感积分等）。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34</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管理后台</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会员管理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支持会员状态查询，包括会员等级、会员当前积分、会员积分变动记录等。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35</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优惠券管理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支持对会员优惠券进行后台管理，包括查询、配置、修改，包括停车券、商家券、礼品券等券类型。</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36</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品牌管理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支持对入驻品牌进行后台管理，包括编辑品牌信息、品牌上下架展示状态等。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37</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到访管理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支持对到访客户进行后台管理，包括到访信息查询、到访审批等。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38</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小票审核</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支持对会员上传的小票进行后台审核，包括小票状态、支付记录状态、审核结果反馈等。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39</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报名审核</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支持对会员报名的活动进行后台审核，包括报名状态、审核结果反馈等。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40</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广告配置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支持对线上小程序特定广告位置进行配置，包括首页banner轮播、弹窗等。</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41</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活动配置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支持对线上小程序活动进行配置，包括积分活动（积分秒杀、拍卖、夺宝等类型）、互动活动（抽奖、任务等类型），需会员系统具备对应活动功能。</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42</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权限账号管理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支持隔离各商场间的组织权限和数据权限，保护各板块保护板块核心数据资产，防止跨部门人员随意访问用户隐私数据，降低数据泄露风险。</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会员系统建设服务各项目小计含税报价</w:t>
            </w:r>
          </w:p>
        </w:tc>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会员系统建设服务各项目合计含税报价</w:t>
            </w:r>
          </w:p>
        </w:tc>
        <w:tc>
          <w:tcPr>
            <w:tcW w:w="76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序号</w:t>
            </w:r>
          </w:p>
        </w:tc>
        <w:tc>
          <w:tcPr>
            <w:tcW w:w="39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工作名称</w:t>
            </w:r>
          </w:p>
        </w:tc>
        <w:tc>
          <w:tcPr>
            <w:tcW w:w="82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概述</w:t>
            </w:r>
          </w:p>
        </w:tc>
        <w:tc>
          <w:tcPr>
            <w:tcW w:w="556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详述</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单价</w:t>
            </w:r>
          </w:p>
        </w:tc>
        <w:tc>
          <w:tcPr>
            <w:tcW w:w="698"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总部</w:t>
            </w:r>
          </w:p>
        </w:tc>
        <w:tc>
          <w:tcPr>
            <w:tcW w:w="869"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花城汇</w:t>
            </w:r>
          </w:p>
        </w:tc>
        <w:tc>
          <w:tcPr>
            <w:tcW w:w="881"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流花中心/城壹汇流花</w:t>
            </w:r>
          </w:p>
        </w:tc>
        <w:tc>
          <w:tcPr>
            <w:tcW w:w="828"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天河新天地</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城壹汇北京路</w:t>
            </w:r>
          </w:p>
        </w:tc>
        <w:tc>
          <w:tcPr>
            <w:tcW w:w="889"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南站新天地</w:t>
            </w:r>
          </w:p>
        </w:tc>
        <w:tc>
          <w:tcPr>
            <w:tcW w:w="1018"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花果山小镇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运营策略</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每月运营策略/指标</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配合总部及各项目进行会员价值体系的设计，设定/根据会员运营的价值评价指标，制定运营策略与目标指标。并根据项目特点输出会员运营指标的指标拆解与达成策略、手段的设计等策略工作。</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13"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2</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互动活动</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互动活动（设计个性化）</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在已开发过的小程序活动模板（包括宝箱抽奖、大转盘抽奖、摇一摇抽奖、扭蛋机抽奖、积分竞猜、积分拍卖、积分夺宝等）中，个性化更换皮肤设计不改变游戏规则及活动逻辑：</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活动主题：活动主题、活动奖品、活动规则玩法等；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互动活动：活动页面设计，包括活动首页、中奖页、奖品图等（按需）；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 活动宣传线上物料设计：包括活动banner（按需）、活动弹窗设计（按需）；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①活动相关页面的配置：包括产品上架&amp;活动页面配置、奖品派发、活动banner&amp;弹窗配置等；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②活动过程数据统计：包括活动兑换人数、兑换核销状态、库存更新等。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*包含活动宣传相关线上物料设计及配置，包含H5活动工具复用，每次1个活动。</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7"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3</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互动活动（使用通用设计）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（含：策划、配置）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在已开发上线的小程序活动模板（包括宝箱抽奖、大转盘抽奖、摇一摇抽奖、扭蛋机抽奖、积分竞猜、积分拍卖、积分夺宝等）中，使用通用设计及活动逻辑：</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活动主题：活动主题、活动奖品、活动规则玩法等；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二、活动设计延展与宣传：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互动活动：活动页面设计延展，包括活动首页、中奖页、奖品图等（不修改通用设计，仅修改奖品图等信息）；</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 活动宣传线上物料设计：包括活动banner（按需）、活动弹窗设计（按需），（不修改通用设计，仅修改奖品图等信息）；</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①活动相关页面的配置：包括产品上架&amp;活动页面配置、奖品派发、活动banner&amp;弹窗配置等；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②活动过程数据统计：包括活动兑换人数、兑换核销状态、库存更新等。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*包含活动宣传相关线上宣传物料延展及配置，包含H5活动工具复用，每次1个活动。</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4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4"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4</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线下活动</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线下活动预约活动</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围绕线下现场活动，配置线上预约活动，引导用户报名参加：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一、信息搜集与配置上线：</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搜集整理报名信息、所需积分、活动时间、活动封面图等参与条件内容；</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配置上线，调整活动报名详情上线等执行工作；</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①活动封面图、活动banner、弹窗等素材设计（不含长图、海报等）；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②活动订阅通知配置及触达，及时通知报名用户参与活动；</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对活动预约用户进行信息收集管理、联系，并提供报名/参与情况。</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8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年度活动</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会员节/会员日</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（含：策划、设计、配置）</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围绕商场大事件或品牌营销需求，策划开展主题系列活动，推进活动落地，实现活动目标：</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一、活动创意与策划：</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 活动主题、活动机制策划，活动奖品、活动规则玩法等；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 活动宣传角度策划、宣传排期等；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二、活动设计与宣传：</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①活动&amp;游戏页面设计：包括活动首页设计、活动抽奖页面设计（按需）、活动海报设计（按需）；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①活动宣传线上物料设计：包括活动banner（按需）、活动弹窗设计（按需）；</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三、活动运维及复盘：</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①活动相关页面的配置：包括活动&amp;游戏页面配置、活动中奖率调整、活动banner&amp;弹窗配置等；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②活动过程数据统计：包括活动参与人数、裂变人数、抽奖人数、中奖人数等。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*包含活动宣传首页设计及配置，不包含H5活动工具开发。</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4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6</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线下物料设计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线下会员物料设计</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针对会员系统运营需求对展出的线下物料进行主题策划及设计更新，包括积分兑换、停车优惠、会员等级、无感积分等方面的宣传物料，每套物料包含不超过10张不同内容或尺寸海报/素材设计（可多项目复用）。</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7</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线下会员物料设计延展</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使用已完成的设计文件，进行线下物料的宣传物料尺寸延展（可小幅改动文字等内容），每套物料包含不超过10张不同内容或尺寸海报/素材设计。</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1"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线上物料设计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线上会员物料设计</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按需进行其他线上物料设计工作，包括小程序首页banner、弹窗等（具体按需），每套物料包含不超过3个不同尺寸的素材设计。</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备注：互动活动、线下活动、年度活动等会员活动中已包含的无需计算该项数量。</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线上主题设计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会员系统UI设计</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按需设计周年庆、新年等主题小程序页面UI，包括小程序首页ICON、金刚区、banner、弹窗、我的页面等整套页面的设计更新。</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小程序客服</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客服咨询处理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法定工作日每天8小时，9:00-17:00工作时间内（平均30分钟内）响应用户的咨询。服务内容：处理会员活动、会员订单、会员投诉等类型问题，并根据问题类型流转对应方处理，完成客户咨询解答。</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11</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会员管理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会员信息管理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根据需求进行会员身份管理（注销等）、会员积分管理（增加扣减等）、会员优惠券管理（定向派发等）。</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项目</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广告位管理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会员平台广告位上传与更新维护</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根据需求对会员平台的广告位进行上下架与配置工作，包含每月不超过3张Banner设计。</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13</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优惠券管理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优惠券板块上传与更新维护</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商场权益、商家权益等优惠券的上下架与配置工作，包括优惠券名称、有效期等内容，包含每月不超过5张优惠券小图设计。</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41"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14</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积分商城管理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积分商城板块上传与更新维护</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在积分商城上传积分兑换产品并定期更新并根据需求进行的积分兑换的配置更新，包含素材图简单设计，每月不超过10款商品。</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备注：优惠券以兑换形式上架在积分商城无需另外计算优惠券配置次数。</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6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会员积分管理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消费积分审核/商圈积分补录处理</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负责会员系统的用户消费积分审核/商圈积分补录工作处理。</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3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16</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无感积分圈店</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无感积分店铺增加</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协助完成无感积分店铺圈店工作，包括项目现场商家沟通、后台积分配置等（以项目实际情况为准）。</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1"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17</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数据分析管理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数据统计报告</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以月为单位，基于会员系统可查询的数据，输出会员系统相关数据的统计报告（Excel格式）：包括对整个会员系统各个功能进行数据收集统计分析（会员新增注册、新小程序访客、注册率等）；对小票积分、微信无感积分、支付宝无感积分等消费积分情况进行统计分析（消费人数、消费次数、消费金额等）；对会员活动相关数据进行汇总整理统计分析（活动参与人数、活动参与次数等）。</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4"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18</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0"/>
                <w:szCs w:val="20"/>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运营总结报告</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阶段性会员运营总结报告，基于会员系统可查询的数据，全方位输出会员运营阶段性成果及后续运营计划（PPT格式）：</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①数据统计分析（阶段总结）：包括对整个会员系统各个功能进行数据收集统计分析（会员新增注册、新小程序访客、注册率等）；对小票积分、微信无感积分、支付宝无感积分等消费积分情况进行统计分析（消费人数、消费次数、消费金额等）；对会员活动相关数据进行汇总整理统计分析（活动参与人数、活动参与次数等）。</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②行业调研分享（调研总结）：对商业地产项目会员运营动态、活动进行调研，总结调研分享报告，指引后续运营计划制定。</w:t>
            </w:r>
            <w:r>
              <w:rPr>
                <w:rFonts w:hint="eastAsia" w:ascii="仿宋" w:hAnsi="仿宋" w:eastAsia="仿宋" w:cs="仿宋"/>
                <w:i w:val="0"/>
                <w:color w:val="000000"/>
                <w:kern w:val="0"/>
                <w:sz w:val="20"/>
                <w:szCs w:val="20"/>
                <w:highlight w:val="none"/>
                <w:u w:val="none"/>
                <w:lang w:val="en-US" w:eastAsia="zh-CN" w:bidi="ar"/>
              </w:rPr>
              <w:br w:type="textWrapping"/>
            </w:r>
            <w:r>
              <w:rPr>
                <w:rFonts w:hint="eastAsia" w:ascii="仿宋" w:hAnsi="仿宋" w:eastAsia="仿宋" w:cs="仿宋"/>
                <w:i w:val="0"/>
                <w:color w:val="000000"/>
                <w:kern w:val="0"/>
                <w:sz w:val="20"/>
                <w:szCs w:val="20"/>
                <w:highlight w:val="none"/>
                <w:u w:val="none"/>
                <w:lang w:val="en-US" w:eastAsia="zh-CN" w:bidi="ar"/>
              </w:rPr>
              <w:t>③后续运营计划（规划建议）：结合项目会员运营数据统计分析、行业调研分享制定后续运营计划，包括会员拉新、会员促活、会员转化消费等维度运营计划建议。</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次</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2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6" w:hRule="atLeast"/>
        </w:trPr>
        <w:tc>
          <w:tcPr>
            <w:tcW w:w="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19</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highlight w:val="none"/>
                <w:u w:val="none"/>
              </w:rPr>
            </w:pPr>
            <w:r>
              <w:rPr>
                <w:rFonts w:hint="eastAsia" w:ascii="仿宋" w:hAnsi="仿宋" w:eastAsia="仿宋" w:cs="仿宋"/>
                <w:b/>
                <w:i w:val="0"/>
                <w:color w:val="000000"/>
                <w:kern w:val="0"/>
                <w:sz w:val="20"/>
                <w:szCs w:val="20"/>
                <w:highlight w:val="none"/>
                <w:u w:val="none"/>
                <w:lang w:val="en-US" w:eastAsia="zh-CN" w:bidi="ar"/>
              </w:rPr>
              <w:t>系统技术运维</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日常系统技术运维</w:t>
            </w:r>
          </w:p>
        </w:tc>
        <w:tc>
          <w:tcPr>
            <w:tcW w:w="5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包括对会员信息统计、会员无感积分/小票积分、停车缴费、积分兑换、积分活动等功能的系统技术运维或沟通工作（与对应开发方）。</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月</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10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highlight w:val="none"/>
                <w:u w:val="none"/>
              </w:rPr>
            </w:pPr>
            <w:r>
              <w:rPr>
                <w:rFonts w:hint="eastAsia" w:ascii="仿宋" w:hAnsi="仿宋" w:eastAsia="仿宋" w:cs="仿宋"/>
                <w:i w:val="0"/>
                <w:color w:val="000000"/>
                <w:kern w:val="0"/>
                <w:sz w:val="20"/>
                <w:szCs w:val="20"/>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会员代运营服务各项目小计含税报价</w:t>
            </w:r>
          </w:p>
        </w:tc>
        <w:tc>
          <w:tcPr>
            <w:tcW w:w="20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会员代运营服务各项目合计含税报价</w:t>
            </w:r>
          </w:p>
        </w:tc>
        <w:tc>
          <w:tcPr>
            <w:tcW w:w="76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4" w:hRule="atLeast"/>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不含税总计</w:t>
            </w:r>
          </w:p>
        </w:tc>
        <w:tc>
          <w:tcPr>
            <w:tcW w:w="763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2" w:hRule="atLeast"/>
        </w:trPr>
        <w:tc>
          <w:tcPr>
            <w:tcW w:w="70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含税总计</w:t>
            </w:r>
          </w:p>
        </w:tc>
        <w:tc>
          <w:tcPr>
            <w:tcW w:w="763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highlight w:val="none"/>
                <w:u w:val="none"/>
              </w:rPr>
            </w:pPr>
          </w:p>
        </w:tc>
      </w:tr>
    </w:tbl>
    <w:p>
      <w:pPr>
        <w:rPr>
          <w:highlight w:val="none"/>
        </w:rPr>
      </w:pPr>
    </w:p>
    <w:p>
      <w:pPr>
        <w:pStyle w:val="2"/>
        <w:rPr>
          <w:highlight w:val="none"/>
        </w:rPr>
      </w:pPr>
    </w:p>
    <w:p>
      <w:pPr>
        <w:pStyle w:val="3"/>
        <w:rPr>
          <w:highlight w:val="none"/>
        </w:rPr>
      </w:pPr>
    </w:p>
    <w:p>
      <w:pPr>
        <w:spacing w:line="440" w:lineRule="exact"/>
        <w:ind w:firstLine="240" w:firstLineChars="100"/>
        <w:jc w:val="right"/>
        <w:rPr>
          <w:rFonts w:hint="eastAsia" w:ascii="宋体" w:hAnsi="宋体" w:cs="宋体"/>
          <w:bCs/>
          <w:sz w:val="24"/>
          <w:highlight w:val="none"/>
        </w:rPr>
      </w:pPr>
      <w:r>
        <w:rPr>
          <w:rFonts w:hint="eastAsia" w:ascii="微软雅黑" w:hAnsi="微软雅黑" w:eastAsia="微软雅黑" w:cs="微软雅黑"/>
          <w:sz w:val="24"/>
          <w:highlight w:val="none"/>
        </w:rPr>
        <w:t xml:space="preserve">                                      </w:t>
      </w:r>
      <w:r>
        <w:rPr>
          <w:rFonts w:hint="eastAsia" w:ascii="微软雅黑" w:hAnsi="微软雅黑" w:eastAsia="微软雅黑" w:cs="微软雅黑"/>
          <w:szCs w:val="21"/>
          <w:highlight w:val="none"/>
        </w:rPr>
        <w:t xml:space="preserve"> </w:t>
      </w:r>
      <w:r>
        <w:rPr>
          <w:rFonts w:hint="eastAsia" w:ascii="宋体" w:hAnsi="宋体" w:cs="宋体"/>
          <w:bCs/>
          <w:sz w:val="24"/>
          <w:highlight w:val="none"/>
        </w:rPr>
        <w:t>竞投人全称（公章）：</w:t>
      </w:r>
    </w:p>
    <w:p>
      <w:pPr>
        <w:spacing w:before="120" w:after="120" w:line="440" w:lineRule="exact"/>
        <w:ind w:firstLine="3840" w:firstLineChars="1600"/>
        <w:jc w:val="right"/>
        <w:rPr>
          <w:rFonts w:hint="eastAsia" w:ascii="宋体" w:hAnsi="宋体" w:cs="宋体"/>
          <w:bCs/>
          <w:sz w:val="24"/>
          <w:highlight w:val="none"/>
        </w:rPr>
      </w:pPr>
      <w:r>
        <w:rPr>
          <w:rFonts w:hint="eastAsia" w:ascii="宋体" w:hAnsi="宋体" w:cs="宋体"/>
          <w:bCs/>
          <w:sz w:val="24"/>
          <w:highlight w:val="none"/>
        </w:rPr>
        <w:t>日    期：         年      月     日</w:t>
      </w:r>
    </w:p>
    <w:p>
      <w:pPr>
        <w:pStyle w:val="14"/>
        <w:rPr>
          <w:rFonts w:hint="eastAsia" w:hAnsi="宋体" w:cs="宋体"/>
          <w:sz w:val="24"/>
          <w:szCs w:val="24"/>
          <w:highlight w:val="none"/>
        </w:rPr>
      </w:pPr>
    </w:p>
    <w:p>
      <w:pPr>
        <w:rPr>
          <w:highlight w:val="none"/>
        </w:rPr>
        <w:sectPr>
          <w:pgSz w:w="16838" w:h="11906" w:orient="landscape"/>
          <w:pgMar w:top="1800" w:right="1440" w:bottom="1800" w:left="1440" w:header="851" w:footer="992" w:gutter="0"/>
          <w:cols w:space="720" w:num="1"/>
          <w:docGrid w:type="lines" w:linePitch="312" w:charSpace="0"/>
        </w:sectPr>
      </w:pPr>
    </w:p>
    <w:p>
      <w:pPr>
        <w:pStyle w:val="14"/>
        <w:ind w:left="0"/>
        <w:rPr>
          <w:rFonts w:hint="eastAsia" w:hAnsi="宋体" w:cs="宋体"/>
          <w:sz w:val="24"/>
          <w:szCs w:val="24"/>
          <w:highlight w:val="none"/>
        </w:rPr>
      </w:pPr>
    </w:p>
    <w:p>
      <w:pPr>
        <w:rPr>
          <w:rFonts w:hint="eastAsia" w:ascii="宋体" w:hAnsi="宋体" w:cs="宋体"/>
          <w:sz w:val="24"/>
          <w:highlight w:val="none"/>
        </w:rPr>
      </w:pPr>
    </w:p>
    <w:p>
      <w:pPr>
        <w:rPr>
          <w:rFonts w:hint="eastAsia" w:ascii="宋体" w:hAnsi="宋体" w:cs="宋体"/>
          <w:szCs w:val="21"/>
          <w:highlight w:val="none"/>
        </w:rPr>
      </w:pPr>
      <w:r>
        <w:rPr>
          <w:rFonts w:hint="eastAsia" w:ascii="宋体" w:hAnsi="宋体" w:cs="宋体"/>
          <w:sz w:val="24"/>
          <w:highlight w:val="none"/>
        </w:rPr>
        <w:t>附件5：其他资料</w:t>
      </w:r>
    </w:p>
    <w:p>
      <w:pPr>
        <w:widowControl/>
        <w:spacing w:line="440" w:lineRule="exact"/>
        <w:ind w:left="88" w:leftChars="42"/>
        <w:rPr>
          <w:rFonts w:hint="eastAsia" w:ascii="宋体" w:hAnsi="宋体" w:cs="宋体"/>
          <w:highlight w:val="none"/>
        </w:rPr>
      </w:pPr>
      <w:r>
        <w:rPr>
          <w:rFonts w:hint="eastAsia" w:ascii="宋体" w:hAnsi="宋体" w:cs="宋体"/>
          <w:highlight w:val="none"/>
        </w:rPr>
        <w:t xml:space="preserve">          </w:t>
      </w:r>
    </w:p>
    <w:p>
      <w:pPr>
        <w:widowControl/>
        <w:spacing w:line="360" w:lineRule="auto"/>
        <w:rPr>
          <w:rFonts w:hint="eastAsia" w:ascii="宋体" w:hAnsi="宋体" w:cs="宋体"/>
          <w:sz w:val="24"/>
          <w:highlight w:val="none"/>
        </w:rPr>
      </w:pPr>
      <w:r>
        <w:rPr>
          <w:rFonts w:hint="eastAsia" w:ascii="宋体" w:hAnsi="宋体" w:cs="宋体"/>
          <w:sz w:val="24"/>
          <w:highlight w:val="none"/>
        </w:rPr>
        <w:t>1.企业营业执照复印件（盖章）</w:t>
      </w:r>
    </w:p>
    <w:p>
      <w:pPr>
        <w:widowControl/>
        <w:spacing w:line="360" w:lineRule="auto"/>
        <w:jc w:val="left"/>
        <w:rPr>
          <w:rFonts w:hint="eastAsia" w:ascii="宋体" w:hAnsi="宋体" w:cs="宋体"/>
          <w:sz w:val="24"/>
          <w:highlight w:val="none"/>
        </w:rPr>
      </w:pPr>
      <w:r>
        <w:rPr>
          <w:rFonts w:hint="eastAsia" w:ascii="宋体" w:hAnsi="宋体" w:cs="宋体"/>
          <w:sz w:val="24"/>
          <w:highlight w:val="none"/>
        </w:rPr>
        <w:t>2.资格及符合性其他证明文件</w:t>
      </w:r>
    </w:p>
    <w:p>
      <w:pPr>
        <w:widowControl/>
        <w:spacing w:line="360" w:lineRule="auto"/>
        <w:jc w:val="left"/>
        <w:rPr>
          <w:rFonts w:hint="eastAsia" w:ascii="宋体" w:hAnsi="宋体" w:cs="宋体"/>
          <w:sz w:val="24"/>
          <w:highlight w:val="none"/>
        </w:rPr>
      </w:pPr>
      <w:r>
        <w:rPr>
          <w:rFonts w:hint="eastAsia" w:ascii="宋体" w:hAnsi="宋体" w:cs="宋体"/>
          <w:sz w:val="24"/>
          <w:highlight w:val="none"/>
        </w:rPr>
        <w:t>3.评审相关证明文件</w:t>
      </w:r>
    </w:p>
    <w:p>
      <w:pPr>
        <w:pStyle w:val="17"/>
        <w:rPr>
          <w:rFonts w:hint="eastAsia" w:ascii="宋体" w:hAnsi="宋体" w:cs="宋体"/>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0CBA52-DC1C-4FAE-999D-09BF7BCE05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C9B8252C-1FD7-4EC7-9DDC-5C556A779D8E}"/>
  </w:font>
  <w:font w:name="楷体_GB2312">
    <w:altName w:val="楷体"/>
    <w:panose1 w:val="02010609030101010101"/>
    <w:charset w:val="86"/>
    <w:family w:val="modern"/>
    <w:pitch w:val="default"/>
    <w:sig w:usb0="00000000" w:usb1="00000000" w:usb2="00000010" w:usb3="00000000" w:csb0="00040000" w:csb1="00000000"/>
  </w:font>
  <w:font w:name="MS Mincho">
    <w:altName w:val="Kozuka Mincho Pr6N M"/>
    <w:panose1 w:val="02020609040205080304"/>
    <w:charset w:val="80"/>
    <w:family w:val="modern"/>
    <w:pitch w:val="default"/>
    <w:sig w:usb0="00000000" w:usb1="00000000" w:usb2="08000012" w:usb3="00000000" w:csb0="0002009F" w:csb1="00000000"/>
  </w:font>
  <w:font w:name="楷体">
    <w:panose1 w:val="02010609060101010101"/>
    <w:charset w:val="86"/>
    <w:family w:val="modern"/>
    <w:pitch w:val="default"/>
    <w:sig w:usb0="800002BF" w:usb1="38CF7CFA" w:usb2="00000016" w:usb3="00000000" w:csb0="00040001" w:csb1="00000000"/>
    <w:embedRegular r:id="rId3" w:fontKey="{EFC056BB-9B37-403F-9C21-31A6E356D5AF}"/>
  </w:font>
  <w:font w:name="仿宋">
    <w:panose1 w:val="02010609060101010101"/>
    <w:charset w:val="86"/>
    <w:family w:val="modern"/>
    <w:pitch w:val="default"/>
    <w:sig w:usb0="800002BF" w:usb1="38CF7CFA" w:usb2="00000016" w:usb3="00000000" w:csb0="00040001" w:csb1="00000000"/>
    <w:embedRegular r:id="rId4" w:fontKey="{50AAEC82-BB8E-4D64-9A93-BB7B8CA2785C}"/>
  </w:font>
  <w:font w:name="Kozuka Mincho Pr6N M">
    <w:panose1 w:val="02020600000000000000"/>
    <w:charset w:val="80"/>
    <w:family w:val="auto"/>
    <w:pitch w:val="default"/>
    <w:sig w:usb0="000002D7" w:usb1="2AC71C11"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20</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20</w:t>
    </w:r>
    <w:r>
      <w:rPr>
        <w:kern w:val="0"/>
      </w:rPr>
      <w:fldChar w:fldCharType="end"/>
    </w:r>
    <w:r>
      <w:rPr>
        <w:rFonts w:hint="eastAsia"/>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1"/>
      </w:rPr>
    </w:pPr>
    <w:r>
      <w:fldChar w:fldCharType="begin"/>
    </w:r>
    <w:r>
      <w:rPr>
        <w:rStyle w:val="31"/>
      </w:rPr>
      <w:instrText xml:space="preserve">PAGE  </w:instrText>
    </w:r>
    <w: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ascii="Arial" w:hAnsi="Arial" w:cs="Arial"/>
        <w:sz w:val="21"/>
        <w:szCs w:val="21"/>
      </w:rPr>
      <w:t xml:space="preserve">    </w:t>
    </w: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20</w:t>
    </w:r>
    <w:r>
      <w:rPr>
        <w:kern w:val="0"/>
        <w:sz w:val="21"/>
        <w:szCs w:val="21"/>
      </w:rPr>
      <w:fldChar w:fldCharType="end"/>
    </w:r>
    <w:r>
      <w:rPr>
        <w:rFonts w:hint="eastAsia"/>
        <w:kern w:val="0"/>
        <w:sz w:val="21"/>
        <w:szCs w:val="21"/>
      </w:rPr>
      <w:t xml:space="preserve"> 页</w:t>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20</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20</w:t>
    </w:r>
    <w:r>
      <w:rPr>
        <w:kern w:val="0"/>
      </w:rPr>
      <w:fldChar w:fldCharType="end"/>
    </w:r>
    <w:r>
      <w:rPr>
        <w:rFonts w:hint="eastAsia"/>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1"/>
      </w:rPr>
    </w:pPr>
    <w:r>
      <w:fldChar w:fldCharType="begin"/>
    </w:r>
    <w:r>
      <w:rPr>
        <w:rStyle w:val="31"/>
      </w:rPr>
      <w:instrText xml:space="preserve">PAGE  </w:instrText>
    </w:r>
    <w:r>
      <w:fldChar w:fldCharType="end"/>
    </w:r>
  </w:p>
  <w:p>
    <w:pPr>
      <w:pStyle w:val="2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ascii="Arial" w:hAnsi="Arial" w:cs="Arial"/>
        <w:sz w:val="21"/>
        <w:szCs w:val="21"/>
      </w:rPr>
      <w:t xml:space="preserve">    </w:t>
    </w: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20</w:t>
    </w:r>
    <w:r>
      <w:rPr>
        <w:kern w:val="0"/>
        <w:sz w:val="21"/>
        <w:szCs w:val="21"/>
      </w:rPr>
      <w:fldChar w:fldCharType="end"/>
    </w:r>
    <w:r>
      <w:rPr>
        <w:rFonts w:hint="eastAsia"/>
        <w:kern w:val="0"/>
        <w:sz w:val="21"/>
        <w:szCs w:val="21"/>
      </w:rPr>
      <w:t xml:space="preserve"> 页</w:t>
    </w:r>
  </w:p>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31</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108</w:t>
    </w:r>
    <w:r>
      <w:rPr>
        <w:kern w:val="0"/>
      </w:rPr>
      <w:fldChar w:fldCharType="end"/>
    </w:r>
    <w:r>
      <w:rPr>
        <w:rFonts w:hint="eastAsia"/>
        <w:kern w:val="0"/>
      </w:rPr>
      <w:t xml:space="preserve"> 页</w:t>
    </w:r>
  </w:p>
  <w:p>
    <w:pPr>
      <w:pStyle w:val="21"/>
    </w:pPr>
    <w:r>
      <mc:AlternateContent>
        <mc:Choice Requires="wps">
          <w:drawing>
            <wp:anchor distT="0" distB="0" distL="114300" distR="114300" simplePos="0" relativeHeight="251660288" behindDoc="0" locked="0" layoutInCell="1" allowOverlap="1">
              <wp:simplePos x="0" y="0"/>
              <wp:positionH relativeFrom="margin">
                <wp:posOffset>2578100</wp:posOffset>
              </wp:positionH>
              <wp:positionV relativeFrom="paragraph">
                <wp:posOffset>0</wp:posOffset>
              </wp:positionV>
              <wp:extent cx="184785" cy="166370"/>
              <wp:effectExtent l="0" t="0" r="0" b="0"/>
              <wp:wrapNone/>
              <wp:docPr id="274960679" name="文本框 274960679"/>
              <wp:cNvGraphicFramePr/>
              <a:graphic xmlns:a="http://schemas.openxmlformats.org/drawingml/2006/main">
                <a:graphicData uri="http://schemas.microsoft.com/office/word/2010/wordprocessingShape">
                  <wps:wsp>
                    <wps:cNvSpPr txBox="1"/>
                    <wps:spPr>
                      <a:xfrm>
                        <a:off x="0" y="0"/>
                        <a:ext cx="18478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pt;height:13.1pt;width:14.55pt;mso-position-horizontal-relative:margin;z-index:251660288;mso-width-relative:page;mso-height-relative:page;" filled="f" stroked="f" coordsize="21600,21600" o:gfxdata="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VRJhNcAAAAH&#10;AQAADwAAAAAAAAABACAAAAAiAAAAZHJzL2Rvd25yZXYueG1sUEsBAhQAFAAAAAgAh07iQIjIcMwd&#10;AgAAFwQAAA4AAAAAAAAAAQAgAAAAJgEAAGRycy9lMm9Eb2MueG1sUEsFBgAAAAAGAAYAWQEAALUF&#10;AAAAAA==&#10;">
              <v:fill on="f" focussize="0,0"/>
              <v:stroke on="f" weight="0.5pt"/>
              <v:imagedata o:title=""/>
              <o:lock v:ext="edit" aspectratio="f"/>
              <v:textbox inset="0mm,0mm,0mm,0mm">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38" w:line="210" w:lineRule="auto"/>
      <w:ind w:left="3860"/>
      <w:jc w:val="center"/>
      <w:rPr>
        <w:rFonts w:hint="eastAsia" w:ascii="宋体" w:hAnsi="宋体" w:cs="宋体"/>
        <w:sz w:val="20"/>
        <w:szCs w:val="20"/>
        <w:rPrChange w:id="1" w:author="陈楚琳" w:date="2026-02-04T10:32:00Z">
          <w:rPr>
            <w:rFonts w:hint="eastAsia" w:ascii="宋体" w:hAnsi="宋体" w:cs="宋体"/>
            <w:sz w:val="20"/>
            <w:szCs w:val="20"/>
          </w:rPr>
        </w:rPrChange>
      </w:rPr>
      <w:pPrChange w:id="0" w:author="陈楚琳" w:date="2026-02-04T10:32:00Z">
        <w:pPr>
          <w:spacing w:before="38" w:line="210" w:lineRule="auto"/>
          <w:ind w:left="3860"/>
        </w:pPr>
      </w:pPrChange>
    </w:pPr>
    <w:ins w:id="2" w:author="陈楚琳" w:date="2026-02-04T10:32:00Z">
      <w:r>
        <w:rPr>
          <w:rFonts w:hint="eastAsia"/>
          <w:kern w:val="0"/>
        </w:rPr>
        <w:t xml:space="preserve">第 </w:t>
      </w:r>
    </w:ins>
    <w:ins w:id="3" w:author="陈楚琳" w:date="2026-02-04T10:32:00Z">
      <w:r>
        <w:rPr>
          <w:kern w:val="0"/>
        </w:rPr>
        <w:fldChar w:fldCharType="begin"/>
      </w:r>
    </w:ins>
    <w:ins w:id="4" w:author="陈楚琳" w:date="2026-02-04T10:32:00Z">
      <w:r>
        <w:rPr>
          <w:kern w:val="0"/>
        </w:rPr>
        <w:instrText xml:space="preserve"> PAGE </w:instrText>
      </w:r>
    </w:ins>
    <w:ins w:id="5" w:author="陈楚琳" w:date="2026-02-04T10:32:00Z">
      <w:r>
        <w:rPr>
          <w:kern w:val="0"/>
        </w:rPr>
        <w:fldChar w:fldCharType="separate"/>
      </w:r>
    </w:ins>
    <w:ins w:id="6" w:author="陈楚琳" w:date="2026-02-04T10:32:00Z">
      <w:r>
        <w:rPr>
          <w:kern w:val="0"/>
        </w:rPr>
        <w:t>11</w:t>
      </w:r>
    </w:ins>
    <w:ins w:id="7" w:author="陈楚琳" w:date="2026-02-04T10:32:00Z">
      <w:r>
        <w:rPr>
          <w:kern w:val="0"/>
        </w:rPr>
        <w:fldChar w:fldCharType="end"/>
      </w:r>
    </w:ins>
    <w:ins w:id="8" w:author="陈楚琳" w:date="2026-02-04T10:32:00Z">
      <w:r>
        <w:rPr>
          <w:rFonts w:hint="eastAsia"/>
          <w:kern w:val="0"/>
        </w:rPr>
        <w:t xml:space="preserve"> 页 共 </w:t>
      </w:r>
    </w:ins>
    <w:ins w:id="9" w:author="陈楚琳" w:date="2026-02-04T10:32:00Z">
      <w:r>
        <w:rPr>
          <w:kern w:val="0"/>
        </w:rPr>
        <w:fldChar w:fldCharType="begin"/>
      </w:r>
    </w:ins>
    <w:ins w:id="10" w:author="陈楚琳" w:date="2026-02-04T10:32:00Z">
      <w:r>
        <w:rPr>
          <w:kern w:val="0"/>
        </w:rPr>
        <w:instrText xml:space="preserve"> NUMPAGES </w:instrText>
      </w:r>
    </w:ins>
    <w:ins w:id="11" w:author="陈楚琳" w:date="2026-02-04T10:32:00Z">
      <w:r>
        <w:rPr>
          <w:kern w:val="0"/>
        </w:rPr>
        <w:fldChar w:fldCharType="separate"/>
      </w:r>
    </w:ins>
    <w:ins w:id="12" w:author="陈楚琳" w:date="2026-02-04T10:32:00Z">
      <w:r>
        <w:rPr>
          <w:kern w:val="0"/>
        </w:rPr>
        <w:t>108</w:t>
      </w:r>
    </w:ins>
    <w:ins w:id="13" w:author="陈楚琳" w:date="2026-02-04T10:32:00Z">
      <w:r>
        <w:rPr>
          <w:kern w:val="0"/>
        </w:rPr>
        <w:fldChar w:fldCharType="end"/>
      </w:r>
    </w:ins>
    <w:ins w:id="14" w:author="陈楚琳" w:date="2026-02-04T10:32:00Z">
      <w:r>
        <w:rPr>
          <w:rFonts w:hint="eastAsia"/>
          <w:kern w:val="0"/>
        </w:rPr>
        <w:t xml:space="preserve"> 页</w:t>
      </w:r>
    </w:ins>
    <w:del w:id="15" w:author="陈楚琳" w:date="2026-02-04T10:29:00Z">
      <w:r>
        <w:rPr/>
        <mc:AlternateContent>
          <mc:Choice Requires="wps">
            <w:drawing>
              <wp:anchor distT="0" distB="0" distL="114300" distR="114300" simplePos="0" relativeHeight="251659264" behindDoc="0" locked="0" layoutInCell="1" allowOverlap="1">
                <wp:simplePos x="0" y="0"/>
                <wp:positionH relativeFrom="margin">
                  <wp:posOffset>1680845</wp:posOffset>
                </wp:positionH>
                <wp:positionV relativeFrom="paragraph">
                  <wp:posOffset>-2950845</wp:posOffset>
                </wp:positionV>
                <wp:extent cx="1383030" cy="147955"/>
                <wp:effectExtent l="0" t="0" r="8255" b="12700"/>
                <wp:wrapNone/>
                <wp:docPr id="1670141363"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383018" cy="147955"/>
                        </a:xfrm>
                        <a:prstGeom prst="rect">
                          <a:avLst/>
                        </a:prstGeom>
                        <a:noFill/>
                        <a:ln>
                          <a:noFill/>
                        </a:ln>
                      </wps:spPr>
                      <wps:txbx>
                        <w:txbxContent>
                          <w:p>
                            <w:pPr>
                              <w:pStyle w:val="21"/>
                              <w:rPr>
                                <w:rFonts w:hint="eastAsia"/>
                              </w:rPr>
                            </w:pPr>
                          </w:p>
                        </w:txbxContent>
                      </wps:txbx>
                      <wps:bodyPr rot="0" vert="horz" wrap="square" lIns="0" tIns="0" rIns="0" bIns="0" anchor="t" anchorCtr="0" upright="1">
                        <a:spAutoFit/>
                      </wps:bodyPr>
                    </wps:wsp>
                  </a:graphicData>
                </a:graphic>
              </wp:anchor>
            </w:drawing>
          </mc:Choice>
          <mc:Fallback>
            <w:pict>
              <v:shape id="文本框 10" o:spid="_x0000_s1026" o:spt="202" type="#_x0000_t202" style="position:absolute;left:0pt;margin-left:132.35pt;margin-top:-232.35pt;height:11.65pt;width:108.9pt;mso-position-horizontal-relative:margin;z-index:251659264;mso-width-relative:page;mso-height-relative:page;" filled="f" stroked="f" coordsize="21600,21600" o:gfxdata="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X5MWtgAAAANAQAADwAAAAAAAAABACAAAAAiAAAAZHJzL2Rvd25yZXYu&#10;eG1sUEsBAhQAFAAAAAgAh07iQIgby3z7AQAAwQMAAA4AAAAAAAAAAQAgAAAAJwEAAGRycy9lMm9E&#10;b2MueG1sUEsFBgAAAAAGAAYAWQEAAJQFAAAAAA==&#10;">
                <v:fill on="f" focussize="0,0"/>
                <v:stroke on="f"/>
                <v:imagedata o:title=""/>
                <o:lock v:ext="edit" aspectratio="f"/>
                <v:textbox inset="0mm,0mm,0mm,0mm" style="mso-fit-shape-to-text:t;">
                  <w:txbxContent>
                    <w:p>
                      <w:pPr>
                        <w:pStyle w:val="21"/>
                        <w:rPr>
                          <w:rFonts w:hint="eastAsia"/>
                        </w:rPr>
                      </w:pPr>
                    </w:p>
                  </w:txbxContent>
                </v:textbox>
              </v:shape>
            </w:pict>
          </mc:Fallback>
        </mc:AlternateContent>
      </w:r>
    </w:de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3"/>
      </w:pBdr>
      <w:tabs>
        <w:tab w:val="right" w:pos="9214"/>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3"/>
      </w:pBdr>
      <w:tabs>
        <w:tab w:val="right" w:pos="9214"/>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FE753"/>
    <w:multiLevelType w:val="singleLevel"/>
    <w:tmpl w:val="80BFE753"/>
    <w:lvl w:ilvl="0" w:tentative="0">
      <w:start w:val="4"/>
      <w:numFmt w:val="chineseCounting"/>
      <w:suff w:val="nothing"/>
      <w:lvlText w:val="%1、"/>
      <w:lvlJc w:val="left"/>
      <w:rPr>
        <w:rFonts w:hint="eastAsia"/>
      </w:rPr>
    </w:lvl>
  </w:abstractNum>
  <w:abstractNum w:abstractNumId="1">
    <w:nsid w:val="8A7CB9C4"/>
    <w:multiLevelType w:val="singleLevel"/>
    <w:tmpl w:val="8A7CB9C4"/>
    <w:lvl w:ilvl="0" w:tentative="0">
      <w:start w:val="1"/>
      <w:numFmt w:val="chineseCounting"/>
      <w:suff w:val="nothing"/>
      <w:lvlText w:val="%1、"/>
      <w:lvlJc w:val="left"/>
      <w:pPr>
        <w:ind w:left="0" w:firstLine="420"/>
      </w:pPr>
      <w:rPr>
        <w:rFonts w:hint="eastAsia"/>
      </w:rPr>
    </w:lvl>
  </w:abstractNum>
  <w:abstractNum w:abstractNumId="2">
    <w:nsid w:val="8DF8C8B3"/>
    <w:multiLevelType w:val="singleLevel"/>
    <w:tmpl w:val="8DF8C8B3"/>
    <w:lvl w:ilvl="0" w:tentative="0">
      <w:start w:val="14"/>
      <w:numFmt w:val="chineseCounting"/>
      <w:suff w:val="space"/>
      <w:lvlText w:val="第%1条"/>
      <w:lvlJc w:val="left"/>
      <w:rPr>
        <w:rFonts w:hint="eastAsia"/>
      </w:rPr>
    </w:lvl>
  </w:abstractNum>
  <w:abstractNum w:abstractNumId="3">
    <w:nsid w:val="E1E4D942"/>
    <w:multiLevelType w:val="singleLevel"/>
    <w:tmpl w:val="E1E4D942"/>
    <w:lvl w:ilvl="0" w:tentative="0">
      <w:start w:val="1"/>
      <w:numFmt w:val="chineseCounting"/>
      <w:suff w:val="nothing"/>
      <w:lvlText w:val="（%1）"/>
      <w:lvlJc w:val="left"/>
      <w:pPr>
        <w:ind w:left="0" w:firstLine="420"/>
      </w:pPr>
      <w:rPr>
        <w:rFonts w:hint="eastAsia"/>
      </w:rPr>
    </w:lvl>
  </w:abstractNum>
  <w:abstractNum w:abstractNumId="4">
    <w:nsid w:val="E2ABACDF"/>
    <w:multiLevelType w:val="singleLevel"/>
    <w:tmpl w:val="E2ABACDF"/>
    <w:lvl w:ilvl="0" w:tentative="0">
      <w:start w:val="1"/>
      <w:numFmt w:val="decimal"/>
      <w:suff w:val="nothing"/>
      <w:lvlText w:val="（%1）"/>
      <w:lvlJc w:val="left"/>
    </w:lvl>
  </w:abstractNum>
  <w:abstractNum w:abstractNumId="5">
    <w:nsid w:val="E7151D1C"/>
    <w:multiLevelType w:val="singleLevel"/>
    <w:tmpl w:val="E7151D1C"/>
    <w:lvl w:ilvl="0" w:tentative="0">
      <w:start w:val="1"/>
      <w:numFmt w:val="chineseCounting"/>
      <w:suff w:val="nothing"/>
      <w:lvlText w:val="（%1）"/>
      <w:lvlJc w:val="left"/>
      <w:pPr>
        <w:ind w:left="0" w:firstLine="420"/>
      </w:pPr>
      <w:rPr>
        <w:rFonts w:hint="eastAsia"/>
      </w:rPr>
    </w:lvl>
  </w:abstractNum>
  <w:abstractNum w:abstractNumId="6">
    <w:nsid w:val="00000004"/>
    <w:multiLevelType w:val="multilevel"/>
    <w:tmpl w:val="00000004"/>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7">
    <w:nsid w:val="00000010"/>
    <w:multiLevelType w:val="multilevel"/>
    <w:tmpl w:val="0000001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450AFF0B"/>
    <w:multiLevelType w:val="singleLevel"/>
    <w:tmpl w:val="450AFF0B"/>
    <w:lvl w:ilvl="0" w:tentative="0">
      <w:start w:val="1"/>
      <w:numFmt w:val="chineseCounting"/>
      <w:suff w:val="nothing"/>
      <w:lvlText w:val="（%1）"/>
      <w:lvlJc w:val="left"/>
      <w:pPr>
        <w:ind w:left="0" w:firstLine="420"/>
      </w:pPr>
      <w:rPr>
        <w:rFonts w:hint="eastAsia"/>
      </w:rPr>
    </w:lvl>
  </w:abstractNum>
  <w:abstractNum w:abstractNumId="9">
    <w:nsid w:val="5285C879"/>
    <w:multiLevelType w:val="singleLevel"/>
    <w:tmpl w:val="5285C879"/>
    <w:lvl w:ilvl="0" w:tentative="0">
      <w:start w:val="1"/>
      <w:numFmt w:val="decimal"/>
      <w:lvlText w:val="%1."/>
      <w:lvlJc w:val="left"/>
      <w:pPr>
        <w:tabs>
          <w:tab w:val="left" w:pos="425"/>
        </w:tabs>
        <w:ind w:left="425" w:hanging="425"/>
      </w:pPr>
      <w:rPr>
        <w:rFonts w:hint="default"/>
      </w:rPr>
    </w:lvl>
  </w:abstractNum>
  <w:abstractNum w:abstractNumId="10">
    <w:nsid w:val="63A122BC"/>
    <w:multiLevelType w:val="multilevel"/>
    <w:tmpl w:val="63A122BC"/>
    <w:lvl w:ilvl="0" w:tentative="0">
      <w:start w:val="1"/>
      <w:numFmt w:val="japaneseCounting"/>
      <w:lvlText w:val="第%1条"/>
      <w:lvlJc w:val="left"/>
      <w:pPr>
        <w:ind w:left="1440" w:hanging="9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11">
    <w:nsid w:val="73BB0DD9"/>
    <w:multiLevelType w:val="singleLevel"/>
    <w:tmpl w:val="73BB0DD9"/>
    <w:lvl w:ilvl="0" w:tentative="0">
      <w:start w:val="1"/>
      <w:numFmt w:val="decimal"/>
      <w:lvlText w:val="%1."/>
      <w:lvlJc w:val="left"/>
      <w:pPr>
        <w:tabs>
          <w:tab w:val="left" w:pos="312"/>
        </w:tabs>
      </w:pPr>
    </w:lvl>
  </w:abstractNum>
  <w:num w:numId="1">
    <w:abstractNumId w:val="0"/>
  </w:num>
  <w:num w:numId="2">
    <w:abstractNumId w:val="11"/>
  </w:num>
  <w:num w:numId="3">
    <w:abstractNumId w:val="1"/>
  </w:num>
  <w:num w:numId="4">
    <w:abstractNumId w:val="4"/>
  </w:num>
  <w:num w:numId="5">
    <w:abstractNumId w:val="7"/>
  </w:num>
  <w:num w:numId="6">
    <w:abstractNumId w:val="6"/>
  </w:num>
  <w:num w:numId="7">
    <w:abstractNumId w:val="2"/>
  </w:num>
  <w:num w:numId="8">
    <w:abstractNumId w:val="10"/>
  </w:num>
  <w:num w:numId="9">
    <w:abstractNumId w:val="5"/>
  </w:num>
  <w:num w:numId="10">
    <w:abstractNumId w:val="3"/>
  </w:num>
  <w:num w:numId="11">
    <w:abstractNumId w:val="8"/>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楚琳">
    <w15:presenceInfo w15:providerId="None" w15:userId="陈楚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A7327B"/>
    <w:rsid w:val="00026D36"/>
    <w:rsid w:val="00033F48"/>
    <w:rsid w:val="00075A65"/>
    <w:rsid w:val="000843B1"/>
    <w:rsid w:val="000E29F7"/>
    <w:rsid w:val="001B2974"/>
    <w:rsid w:val="001E4EAC"/>
    <w:rsid w:val="00204A87"/>
    <w:rsid w:val="002239CF"/>
    <w:rsid w:val="00251FC0"/>
    <w:rsid w:val="00254419"/>
    <w:rsid w:val="00276EBF"/>
    <w:rsid w:val="00285219"/>
    <w:rsid w:val="00292FC3"/>
    <w:rsid w:val="002B68E8"/>
    <w:rsid w:val="002F2DB5"/>
    <w:rsid w:val="00300411"/>
    <w:rsid w:val="003026B4"/>
    <w:rsid w:val="003038C4"/>
    <w:rsid w:val="00343F5C"/>
    <w:rsid w:val="00347964"/>
    <w:rsid w:val="003479D9"/>
    <w:rsid w:val="00365D97"/>
    <w:rsid w:val="00387D0D"/>
    <w:rsid w:val="00396E77"/>
    <w:rsid w:val="003A0681"/>
    <w:rsid w:val="003A2D35"/>
    <w:rsid w:val="003D3B78"/>
    <w:rsid w:val="003D72DB"/>
    <w:rsid w:val="003F30DB"/>
    <w:rsid w:val="003F3EAC"/>
    <w:rsid w:val="0040466B"/>
    <w:rsid w:val="00406869"/>
    <w:rsid w:val="00411741"/>
    <w:rsid w:val="004211F6"/>
    <w:rsid w:val="00434684"/>
    <w:rsid w:val="004521B7"/>
    <w:rsid w:val="00486BBC"/>
    <w:rsid w:val="004E6542"/>
    <w:rsid w:val="005041D3"/>
    <w:rsid w:val="00504E2C"/>
    <w:rsid w:val="00524FD5"/>
    <w:rsid w:val="00525EC3"/>
    <w:rsid w:val="00545DE1"/>
    <w:rsid w:val="00556797"/>
    <w:rsid w:val="00564166"/>
    <w:rsid w:val="00570F12"/>
    <w:rsid w:val="0059735A"/>
    <w:rsid w:val="005A5252"/>
    <w:rsid w:val="005A588E"/>
    <w:rsid w:val="005F7C53"/>
    <w:rsid w:val="00612376"/>
    <w:rsid w:val="00637C26"/>
    <w:rsid w:val="00646B7D"/>
    <w:rsid w:val="0065553A"/>
    <w:rsid w:val="006C023F"/>
    <w:rsid w:val="006F46AA"/>
    <w:rsid w:val="00701751"/>
    <w:rsid w:val="0071645A"/>
    <w:rsid w:val="0072258B"/>
    <w:rsid w:val="00765423"/>
    <w:rsid w:val="00782B23"/>
    <w:rsid w:val="007870CE"/>
    <w:rsid w:val="00797F8E"/>
    <w:rsid w:val="007A6F1B"/>
    <w:rsid w:val="007A74E0"/>
    <w:rsid w:val="007D7582"/>
    <w:rsid w:val="007F6463"/>
    <w:rsid w:val="0080298D"/>
    <w:rsid w:val="008B5B66"/>
    <w:rsid w:val="008E6888"/>
    <w:rsid w:val="008F0F16"/>
    <w:rsid w:val="008F24F3"/>
    <w:rsid w:val="008F56DA"/>
    <w:rsid w:val="00922C46"/>
    <w:rsid w:val="00924DF6"/>
    <w:rsid w:val="009411EF"/>
    <w:rsid w:val="00966BBB"/>
    <w:rsid w:val="009726F2"/>
    <w:rsid w:val="00977E2F"/>
    <w:rsid w:val="0098041B"/>
    <w:rsid w:val="00995D25"/>
    <w:rsid w:val="009B3457"/>
    <w:rsid w:val="009E5E74"/>
    <w:rsid w:val="009F69AC"/>
    <w:rsid w:val="00A31060"/>
    <w:rsid w:val="00A310AB"/>
    <w:rsid w:val="00A658A9"/>
    <w:rsid w:val="00A7327B"/>
    <w:rsid w:val="00A83AD0"/>
    <w:rsid w:val="00A84E79"/>
    <w:rsid w:val="00A86C75"/>
    <w:rsid w:val="00AA5458"/>
    <w:rsid w:val="00AD11B0"/>
    <w:rsid w:val="00AD2091"/>
    <w:rsid w:val="00AD65BD"/>
    <w:rsid w:val="00AF6B29"/>
    <w:rsid w:val="00B30FFB"/>
    <w:rsid w:val="00B76409"/>
    <w:rsid w:val="00B83C0E"/>
    <w:rsid w:val="00B960BA"/>
    <w:rsid w:val="00BB272A"/>
    <w:rsid w:val="00BB743E"/>
    <w:rsid w:val="00C10865"/>
    <w:rsid w:val="00C51E77"/>
    <w:rsid w:val="00C74A76"/>
    <w:rsid w:val="00C846D6"/>
    <w:rsid w:val="00C92975"/>
    <w:rsid w:val="00CA39FE"/>
    <w:rsid w:val="00CC1E84"/>
    <w:rsid w:val="00CC750F"/>
    <w:rsid w:val="00CC794A"/>
    <w:rsid w:val="00CF1CA9"/>
    <w:rsid w:val="00D14832"/>
    <w:rsid w:val="00D23687"/>
    <w:rsid w:val="00D30E07"/>
    <w:rsid w:val="00D4335C"/>
    <w:rsid w:val="00D55975"/>
    <w:rsid w:val="00DD1C5F"/>
    <w:rsid w:val="00DE0956"/>
    <w:rsid w:val="00E02B44"/>
    <w:rsid w:val="00E2550B"/>
    <w:rsid w:val="00E52182"/>
    <w:rsid w:val="00E83ED8"/>
    <w:rsid w:val="00EC52F0"/>
    <w:rsid w:val="00EC6A86"/>
    <w:rsid w:val="00F3608B"/>
    <w:rsid w:val="00F44DC0"/>
    <w:rsid w:val="01434EA3"/>
    <w:rsid w:val="019B2BEF"/>
    <w:rsid w:val="01CC7C92"/>
    <w:rsid w:val="021255DD"/>
    <w:rsid w:val="02923945"/>
    <w:rsid w:val="0317649A"/>
    <w:rsid w:val="036363D4"/>
    <w:rsid w:val="03795BF7"/>
    <w:rsid w:val="03991DF6"/>
    <w:rsid w:val="042F6CBD"/>
    <w:rsid w:val="043D6D35"/>
    <w:rsid w:val="045236B5"/>
    <w:rsid w:val="04DA6F0C"/>
    <w:rsid w:val="04F24B01"/>
    <w:rsid w:val="05542478"/>
    <w:rsid w:val="055D205E"/>
    <w:rsid w:val="066E30C6"/>
    <w:rsid w:val="06913417"/>
    <w:rsid w:val="06B036DE"/>
    <w:rsid w:val="076B4140"/>
    <w:rsid w:val="08012F75"/>
    <w:rsid w:val="0809569E"/>
    <w:rsid w:val="080E0C24"/>
    <w:rsid w:val="08170B1A"/>
    <w:rsid w:val="087D7F38"/>
    <w:rsid w:val="08A70B11"/>
    <w:rsid w:val="08B02EEB"/>
    <w:rsid w:val="08EB51F0"/>
    <w:rsid w:val="08FF6B9F"/>
    <w:rsid w:val="09190222"/>
    <w:rsid w:val="095E1B17"/>
    <w:rsid w:val="09816516"/>
    <w:rsid w:val="09CD27F9"/>
    <w:rsid w:val="09D16F5E"/>
    <w:rsid w:val="0A32010F"/>
    <w:rsid w:val="0AF63C73"/>
    <w:rsid w:val="0B702359"/>
    <w:rsid w:val="0BCB0FBA"/>
    <w:rsid w:val="0BDF668B"/>
    <w:rsid w:val="0CCC4FEA"/>
    <w:rsid w:val="0D292ACA"/>
    <w:rsid w:val="0DC9777B"/>
    <w:rsid w:val="0E0233E1"/>
    <w:rsid w:val="0EEE6754"/>
    <w:rsid w:val="0F1F4436"/>
    <w:rsid w:val="0F9931C6"/>
    <w:rsid w:val="0F9C6EF5"/>
    <w:rsid w:val="0FFB1A7D"/>
    <w:rsid w:val="10101691"/>
    <w:rsid w:val="10B10DDE"/>
    <w:rsid w:val="10EA5A3E"/>
    <w:rsid w:val="10F52B7E"/>
    <w:rsid w:val="111B209C"/>
    <w:rsid w:val="11592BC4"/>
    <w:rsid w:val="116B1628"/>
    <w:rsid w:val="11A649CE"/>
    <w:rsid w:val="11CB1D14"/>
    <w:rsid w:val="12D77634"/>
    <w:rsid w:val="1341797D"/>
    <w:rsid w:val="138E124B"/>
    <w:rsid w:val="13AA5959"/>
    <w:rsid w:val="141E03DE"/>
    <w:rsid w:val="145B0E6A"/>
    <w:rsid w:val="146A27ED"/>
    <w:rsid w:val="15007866"/>
    <w:rsid w:val="150E6303"/>
    <w:rsid w:val="15B968D6"/>
    <w:rsid w:val="15CA22E2"/>
    <w:rsid w:val="16227357"/>
    <w:rsid w:val="16BC3541"/>
    <w:rsid w:val="16F6446D"/>
    <w:rsid w:val="17425C8E"/>
    <w:rsid w:val="17602EFE"/>
    <w:rsid w:val="17BE2465"/>
    <w:rsid w:val="18316649"/>
    <w:rsid w:val="183D0B4A"/>
    <w:rsid w:val="188A01E0"/>
    <w:rsid w:val="19267B28"/>
    <w:rsid w:val="1977452F"/>
    <w:rsid w:val="1A736AA5"/>
    <w:rsid w:val="1B19625E"/>
    <w:rsid w:val="1B993610"/>
    <w:rsid w:val="1C28649A"/>
    <w:rsid w:val="1C9C077E"/>
    <w:rsid w:val="1CB12EC4"/>
    <w:rsid w:val="1D18490B"/>
    <w:rsid w:val="1E3E78AC"/>
    <w:rsid w:val="1EA822FB"/>
    <w:rsid w:val="1ED3045A"/>
    <w:rsid w:val="1EF65EF6"/>
    <w:rsid w:val="1F15767E"/>
    <w:rsid w:val="1F77482D"/>
    <w:rsid w:val="1F903C55"/>
    <w:rsid w:val="1FF636DC"/>
    <w:rsid w:val="1FFE5C5D"/>
    <w:rsid w:val="205100D8"/>
    <w:rsid w:val="20DB27A9"/>
    <w:rsid w:val="20F90230"/>
    <w:rsid w:val="215E79C2"/>
    <w:rsid w:val="21843C8D"/>
    <w:rsid w:val="22056B7C"/>
    <w:rsid w:val="22716C98"/>
    <w:rsid w:val="2294487B"/>
    <w:rsid w:val="22D70FDC"/>
    <w:rsid w:val="230E1E5E"/>
    <w:rsid w:val="235666AB"/>
    <w:rsid w:val="23F128C2"/>
    <w:rsid w:val="245C2C9F"/>
    <w:rsid w:val="246E79E0"/>
    <w:rsid w:val="24CC2EA1"/>
    <w:rsid w:val="25654ACD"/>
    <w:rsid w:val="25B900CF"/>
    <w:rsid w:val="25D54487"/>
    <w:rsid w:val="261E020C"/>
    <w:rsid w:val="27221F7E"/>
    <w:rsid w:val="27A861B1"/>
    <w:rsid w:val="27C0628F"/>
    <w:rsid w:val="27D55F23"/>
    <w:rsid w:val="27E92A9C"/>
    <w:rsid w:val="28485A15"/>
    <w:rsid w:val="28815081"/>
    <w:rsid w:val="289A2D3D"/>
    <w:rsid w:val="289C5F52"/>
    <w:rsid w:val="28B44E58"/>
    <w:rsid w:val="28DA5ABC"/>
    <w:rsid w:val="292A1FBD"/>
    <w:rsid w:val="29923B03"/>
    <w:rsid w:val="29D01046"/>
    <w:rsid w:val="2A852862"/>
    <w:rsid w:val="2A9A007E"/>
    <w:rsid w:val="2AB761FA"/>
    <w:rsid w:val="2B0D4139"/>
    <w:rsid w:val="2C2E10AA"/>
    <w:rsid w:val="2C622E1D"/>
    <w:rsid w:val="2D6D124D"/>
    <w:rsid w:val="2D8F7C42"/>
    <w:rsid w:val="2E1168A9"/>
    <w:rsid w:val="2E513149"/>
    <w:rsid w:val="2E9B762A"/>
    <w:rsid w:val="2F6446B3"/>
    <w:rsid w:val="2FCD4A51"/>
    <w:rsid w:val="30154CED"/>
    <w:rsid w:val="306727B0"/>
    <w:rsid w:val="3147192D"/>
    <w:rsid w:val="31A35A6A"/>
    <w:rsid w:val="32025732"/>
    <w:rsid w:val="325A7FB9"/>
    <w:rsid w:val="327F64D7"/>
    <w:rsid w:val="329D2277"/>
    <w:rsid w:val="32F1797B"/>
    <w:rsid w:val="33753436"/>
    <w:rsid w:val="33DC6096"/>
    <w:rsid w:val="340A6274"/>
    <w:rsid w:val="34983880"/>
    <w:rsid w:val="34BA37F6"/>
    <w:rsid w:val="350D20D8"/>
    <w:rsid w:val="35527ED3"/>
    <w:rsid w:val="37276A1F"/>
    <w:rsid w:val="37520E29"/>
    <w:rsid w:val="37627C24"/>
    <w:rsid w:val="37D77E22"/>
    <w:rsid w:val="37E868CC"/>
    <w:rsid w:val="38060C8C"/>
    <w:rsid w:val="38080D1C"/>
    <w:rsid w:val="385A210A"/>
    <w:rsid w:val="388B5898"/>
    <w:rsid w:val="38A24C9D"/>
    <w:rsid w:val="38BA2F01"/>
    <w:rsid w:val="38F543E1"/>
    <w:rsid w:val="3915201A"/>
    <w:rsid w:val="39C161E6"/>
    <w:rsid w:val="3A9A790A"/>
    <w:rsid w:val="3ADD023E"/>
    <w:rsid w:val="3B0478DC"/>
    <w:rsid w:val="3BE16C2B"/>
    <w:rsid w:val="3C2C74C4"/>
    <w:rsid w:val="3C2F66A2"/>
    <w:rsid w:val="3C722B90"/>
    <w:rsid w:val="3C8D7A42"/>
    <w:rsid w:val="3D0F7999"/>
    <w:rsid w:val="3D2A34E3"/>
    <w:rsid w:val="3E482EDF"/>
    <w:rsid w:val="3E4E3201"/>
    <w:rsid w:val="3EC82FB3"/>
    <w:rsid w:val="3EDE27D7"/>
    <w:rsid w:val="3EEB27FE"/>
    <w:rsid w:val="3FEC0F24"/>
    <w:rsid w:val="3FEE4BE1"/>
    <w:rsid w:val="40A06525"/>
    <w:rsid w:val="41D17A9B"/>
    <w:rsid w:val="435066C2"/>
    <w:rsid w:val="43595133"/>
    <w:rsid w:val="43A22AB5"/>
    <w:rsid w:val="43C55D14"/>
    <w:rsid w:val="443415DA"/>
    <w:rsid w:val="44351619"/>
    <w:rsid w:val="448D4A83"/>
    <w:rsid w:val="44B53B18"/>
    <w:rsid w:val="44B818B6"/>
    <w:rsid w:val="44CA2F9D"/>
    <w:rsid w:val="44D049D4"/>
    <w:rsid w:val="453C569E"/>
    <w:rsid w:val="45505AB1"/>
    <w:rsid w:val="461E795D"/>
    <w:rsid w:val="467B6B5D"/>
    <w:rsid w:val="46B44FD0"/>
    <w:rsid w:val="472241B1"/>
    <w:rsid w:val="4732546E"/>
    <w:rsid w:val="4743767B"/>
    <w:rsid w:val="476B0D21"/>
    <w:rsid w:val="47FB1D04"/>
    <w:rsid w:val="48EE2791"/>
    <w:rsid w:val="48FC21D7"/>
    <w:rsid w:val="494E3CD2"/>
    <w:rsid w:val="49B704D1"/>
    <w:rsid w:val="49B91DEF"/>
    <w:rsid w:val="4A862B92"/>
    <w:rsid w:val="4AC729B2"/>
    <w:rsid w:val="4AE6104B"/>
    <w:rsid w:val="4B8200F2"/>
    <w:rsid w:val="4BD7058A"/>
    <w:rsid w:val="4BDB17F8"/>
    <w:rsid w:val="4BF5143D"/>
    <w:rsid w:val="4C2555A1"/>
    <w:rsid w:val="4C3954F1"/>
    <w:rsid w:val="4C3E3DCE"/>
    <w:rsid w:val="4C4C6FD2"/>
    <w:rsid w:val="4C8A139D"/>
    <w:rsid w:val="4CFA4C80"/>
    <w:rsid w:val="4D1C5366"/>
    <w:rsid w:val="4D9D385D"/>
    <w:rsid w:val="4DC77F1F"/>
    <w:rsid w:val="4DC81ABA"/>
    <w:rsid w:val="4E361CE8"/>
    <w:rsid w:val="4E4F4697"/>
    <w:rsid w:val="4EAF14B3"/>
    <w:rsid w:val="4EB95D5C"/>
    <w:rsid w:val="4EBE66BF"/>
    <w:rsid w:val="4EF851EF"/>
    <w:rsid w:val="4F563F09"/>
    <w:rsid w:val="4FC12723"/>
    <w:rsid w:val="4FE455FF"/>
    <w:rsid w:val="50C26D84"/>
    <w:rsid w:val="50C55D7B"/>
    <w:rsid w:val="50EE4AFC"/>
    <w:rsid w:val="50FE4613"/>
    <w:rsid w:val="51013C87"/>
    <w:rsid w:val="51370F9E"/>
    <w:rsid w:val="52DD00BC"/>
    <w:rsid w:val="53A5346C"/>
    <w:rsid w:val="542B6A57"/>
    <w:rsid w:val="5476076F"/>
    <w:rsid w:val="552C0401"/>
    <w:rsid w:val="5532659F"/>
    <w:rsid w:val="55652944"/>
    <w:rsid w:val="558772CD"/>
    <w:rsid w:val="5617792B"/>
    <w:rsid w:val="578E4942"/>
    <w:rsid w:val="57C31875"/>
    <w:rsid w:val="57EC3417"/>
    <w:rsid w:val="58136DED"/>
    <w:rsid w:val="58475341"/>
    <w:rsid w:val="585B279E"/>
    <w:rsid w:val="589E6E07"/>
    <w:rsid w:val="58C3688D"/>
    <w:rsid w:val="58CC1838"/>
    <w:rsid w:val="596707E1"/>
    <w:rsid w:val="5A0A04CC"/>
    <w:rsid w:val="5A7518B0"/>
    <w:rsid w:val="5AB557D0"/>
    <w:rsid w:val="5AB83A84"/>
    <w:rsid w:val="5B99619F"/>
    <w:rsid w:val="5BAB31A9"/>
    <w:rsid w:val="5C186ED1"/>
    <w:rsid w:val="5C360B89"/>
    <w:rsid w:val="5C832D5F"/>
    <w:rsid w:val="5CBC6D52"/>
    <w:rsid w:val="5CCF336E"/>
    <w:rsid w:val="5D891708"/>
    <w:rsid w:val="5E6F77D8"/>
    <w:rsid w:val="5E767D2A"/>
    <w:rsid w:val="5F061262"/>
    <w:rsid w:val="5F3C629D"/>
    <w:rsid w:val="5F8E65B3"/>
    <w:rsid w:val="5F942D12"/>
    <w:rsid w:val="6015322B"/>
    <w:rsid w:val="602D2580"/>
    <w:rsid w:val="606738B0"/>
    <w:rsid w:val="609314F8"/>
    <w:rsid w:val="60CF5779"/>
    <w:rsid w:val="60DA29A7"/>
    <w:rsid w:val="610572F8"/>
    <w:rsid w:val="61133470"/>
    <w:rsid w:val="61553BB6"/>
    <w:rsid w:val="61D2459C"/>
    <w:rsid w:val="62476C98"/>
    <w:rsid w:val="62496D94"/>
    <w:rsid w:val="628C07CD"/>
    <w:rsid w:val="62AA45FB"/>
    <w:rsid w:val="62EA2C49"/>
    <w:rsid w:val="632952F6"/>
    <w:rsid w:val="6369235B"/>
    <w:rsid w:val="63734902"/>
    <w:rsid w:val="63CE4319"/>
    <w:rsid w:val="63F56C5B"/>
    <w:rsid w:val="642A5BE2"/>
    <w:rsid w:val="642D3346"/>
    <w:rsid w:val="64C23E7D"/>
    <w:rsid w:val="651D5558"/>
    <w:rsid w:val="653764D6"/>
    <w:rsid w:val="654E3963"/>
    <w:rsid w:val="654F517E"/>
    <w:rsid w:val="659F7D1B"/>
    <w:rsid w:val="66B07D06"/>
    <w:rsid w:val="66E75E1D"/>
    <w:rsid w:val="67085FF8"/>
    <w:rsid w:val="678B7D18"/>
    <w:rsid w:val="67FF7197"/>
    <w:rsid w:val="6817628E"/>
    <w:rsid w:val="68CF4DBB"/>
    <w:rsid w:val="692C4B76"/>
    <w:rsid w:val="697E31A5"/>
    <w:rsid w:val="69CA10DE"/>
    <w:rsid w:val="69D1246D"/>
    <w:rsid w:val="69F33152"/>
    <w:rsid w:val="6A072332"/>
    <w:rsid w:val="6A2A6DF1"/>
    <w:rsid w:val="6B3158B9"/>
    <w:rsid w:val="6C615D2A"/>
    <w:rsid w:val="6CAB3449"/>
    <w:rsid w:val="6CD52071"/>
    <w:rsid w:val="6D0B3EE8"/>
    <w:rsid w:val="6D45564C"/>
    <w:rsid w:val="6E0E4D0D"/>
    <w:rsid w:val="6F256C18"/>
    <w:rsid w:val="6F263864"/>
    <w:rsid w:val="6F2D7488"/>
    <w:rsid w:val="6FAB5C5F"/>
    <w:rsid w:val="70842915"/>
    <w:rsid w:val="70BF49A4"/>
    <w:rsid w:val="715A02F4"/>
    <w:rsid w:val="71612F2B"/>
    <w:rsid w:val="71A34973"/>
    <w:rsid w:val="729B5D0E"/>
    <w:rsid w:val="72A663F7"/>
    <w:rsid w:val="731955B0"/>
    <w:rsid w:val="73882082"/>
    <w:rsid w:val="73A6104E"/>
    <w:rsid w:val="7420459E"/>
    <w:rsid w:val="742472B8"/>
    <w:rsid w:val="744C72C0"/>
    <w:rsid w:val="753C5586"/>
    <w:rsid w:val="754B3A1B"/>
    <w:rsid w:val="760071E1"/>
    <w:rsid w:val="76D33CC8"/>
    <w:rsid w:val="76ED2C45"/>
    <w:rsid w:val="777B6E85"/>
    <w:rsid w:val="77A15F08"/>
    <w:rsid w:val="780A196C"/>
    <w:rsid w:val="786C4C09"/>
    <w:rsid w:val="797D43BF"/>
    <w:rsid w:val="79963E2F"/>
    <w:rsid w:val="79F11DD2"/>
    <w:rsid w:val="7A97500D"/>
    <w:rsid w:val="7AAC4F5C"/>
    <w:rsid w:val="7ACC3E7A"/>
    <w:rsid w:val="7AEC16FC"/>
    <w:rsid w:val="7B05466C"/>
    <w:rsid w:val="7B226FCC"/>
    <w:rsid w:val="7B346CFF"/>
    <w:rsid w:val="7B6E5D6D"/>
    <w:rsid w:val="7B841A35"/>
    <w:rsid w:val="7BABCA7B"/>
    <w:rsid w:val="7C093CE8"/>
    <w:rsid w:val="7CBD5735"/>
    <w:rsid w:val="7D961127"/>
    <w:rsid w:val="7DAC29E3"/>
    <w:rsid w:val="7E0A340A"/>
    <w:rsid w:val="7E1422CD"/>
    <w:rsid w:val="7E154A60"/>
    <w:rsid w:val="7E3F7E95"/>
    <w:rsid w:val="7E752243"/>
    <w:rsid w:val="7E9122F8"/>
    <w:rsid w:val="7EE54599"/>
    <w:rsid w:val="7F363046"/>
    <w:rsid w:val="7F3E014D"/>
    <w:rsid w:val="7FA44454"/>
    <w:rsid w:val="7FBA7549"/>
    <w:rsid w:val="7FEAC6CE"/>
    <w:rsid w:val="DE8EE0D1"/>
    <w:rsid w:val="E7BFC555"/>
    <w:rsid w:val="EF736F19"/>
    <w:rsid w:val="FFAD0B50"/>
    <w:rsid w:val="FFFF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qFormat="1" w:unhideWhenUsed="0" w:uiPriority="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7"/>
    <w:unhideWhenUsed/>
    <w:qFormat/>
    <w:uiPriority w:val="9"/>
    <w:pPr>
      <w:keepNext/>
      <w:keepLines/>
      <w:spacing w:before="160" w:after="80"/>
      <w:outlineLvl w:val="2"/>
    </w:pPr>
    <w:rPr>
      <w:rFonts w:ascii="等线 Light" w:hAnsi="等线 Light" w:eastAsia="等线 Light"/>
      <w:color w:val="0F4761"/>
      <w:sz w:val="32"/>
      <w:szCs w:val="32"/>
    </w:rPr>
  </w:style>
  <w:style w:type="paragraph" w:styleId="7">
    <w:name w:val="heading 4"/>
    <w:basedOn w:val="1"/>
    <w:next w:val="1"/>
    <w:link w:val="66"/>
    <w:qFormat/>
    <w:uiPriority w:val="9"/>
    <w:pPr>
      <w:autoSpaceDE w:val="0"/>
      <w:autoSpaceDN w:val="0"/>
      <w:adjustRightInd w:val="0"/>
      <w:snapToGrid w:val="0"/>
      <w:spacing w:line="360" w:lineRule="auto"/>
      <w:outlineLvl w:val="3"/>
    </w:pPr>
    <w:rPr>
      <w:rFonts w:ascii="宋体" w:hAnsi="Arial" w:cs="宋体"/>
      <w:color w:val="000000"/>
      <w:kern w:val="0"/>
      <w:szCs w:val="20"/>
    </w:rPr>
  </w:style>
  <w:style w:type="paragraph" w:styleId="8">
    <w:name w:val="heading 5"/>
    <w:basedOn w:val="1"/>
    <w:next w:val="1"/>
    <w:link w:val="58"/>
    <w:unhideWhenUsed/>
    <w:qFormat/>
    <w:uiPriority w:val="9"/>
    <w:pPr>
      <w:keepNext/>
      <w:keepLines/>
      <w:spacing w:before="80" w:after="40"/>
      <w:outlineLvl w:val="4"/>
    </w:pPr>
    <w:rPr>
      <w:rFonts w:ascii="Calibri" w:hAnsi="Calibri"/>
      <w:color w:val="0F4761"/>
      <w:sz w:val="24"/>
    </w:rPr>
  </w:style>
  <w:style w:type="paragraph" w:styleId="9">
    <w:name w:val="heading 6"/>
    <w:basedOn w:val="1"/>
    <w:next w:val="1"/>
    <w:link w:val="59"/>
    <w:unhideWhenUsed/>
    <w:qFormat/>
    <w:uiPriority w:val="9"/>
    <w:pPr>
      <w:keepNext/>
      <w:keepLines/>
      <w:spacing w:before="40"/>
      <w:outlineLvl w:val="5"/>
    </w:pPr>
    <w:rPr>
      <w:rFonts w:ascii="Calibri" w:hAnsi="Calibri"/>
      <w:b/>
      <w:bCs/>
      <w:color w:val="0F4761"/>
      <w:szCs w:val="22"/>
    </w:rPr>
  </w:style>
  <w:style w:type="paragraph" w:styleId="10">
    <w:name w:val="heading 7"/>
    <w:basedOn w:val="1"/>
    <w:next w:val="1"/>
    <w:link w:val="60"/>
    <w:unhideWhenUsed/>
    <w:qFormat/>
    <w:uiPriority w:val="9"/>
    <w:pPr>
      <w:keepNext/>
      <w:keepLines/>
      <w:spacing w:before="40"/>
      <w:outlineLvl w:val="6"/>
    </w:pPr>
    <w:rPr>
      <w:rFonts w:ascii="Calibri" w:hAnsi="Calibri"/>
      <w:b/>
      <w:bCs/>
      <w:color w:val="595959"/>
      <w:szCs w:val="22"/>
    </w:rPr>
  </w:style>
  <w:style w:type="paragraph" w:styleId="11">
    <w:name w:val="heading 8"/>
    <w:basedOn w:val="1"/>
    <w:next w:val="1"/>
    <w:link w:val="61"/>
    <w:unhideWhenUsed/>
    <w:qFormat/>
    <w:uiPriority w:val="9"/>
    <w:pPr>
      <w:keepNext/>
      <w:keepLines/>
      <w:outlineLvl w:val="7"/>
    </w:pPr>
    <w:rPr>
      <w:rFonts w:ascii="Calibri" w:hAnsi="Calibri"/>
      <w:color w:val="595959"/>
      <w:szCs w:val="22"/>
    </w:rPr>
  </w:style>
  <w:style w:type="paragraph" w:styleId="12">
    <w:name w:val="heading 9"/>
    <w:basedOn w:val="1"/>
    <w:next w:val="1"/>
    <w:link w:val="62"/>
    <w:unhideWhenUsed/>
    <w:qFormat/>
    <w:uiPriority w:val="9"/>
    <w:pPr>
      <w:keepNext/>
      <w:keepLines/>
      <w:outlineLvl w:val="8"/>
    </w:pPr>
    <w:rPr>
      <w:rFonts w:ascii="Calibri" w:hAnsi="Calibri" w:eastAsia="等线 Light"/>
      <w:color w:val="595959"/>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33"/>
    <w:qFormat/>
    <w:uiPriority w:val="0"/>
    <w:pPr>
      <w:spacing w:line="360" w:lineRule="auto"/>
      <w:ind w:firstLine="510"/>
    </w:pPr>
    <w:rPr>
      <w:rFonts w:ascii="宋体" w:hAnsi="Courier New"/>
      <w:sz w:val="24"/>
      <w:szCs w:val="22"/>
    </w:rPr>
  </w:style>
  <w:style w:type="paragraph" w:styleId="3">
    <w:name w:val="index 8"/>
    <w:basedOn w:val="1"/>
    <w:next w:val="1"/>
    <w:qFormat/>
    <w:uiPriority w:val="0"/>
    <w:pPr>
      <w:ind w:left="2940"/>
    </w:pPr>
  </w:style>
  <w:style w:type="paragraph" w:styleId="13">
    <w:name w:val="Normal Indent"/>
    <w:basedOn w:val="1"/>
    <w:next w:val="14"/>
    <w:qFormat/>
    <w:uiPriority w:val="0"/>
    <w:pPr>
      <w:snapToGrid w:val="0"/>
      <w:spacing w:beforeLines="50"/>
      <w:ind w:firstLine="420"/>
      <w:contextualSpacing/>
    </w:pPr>
    <w:rPr>
      <w:rFonts w:eastAsia="仿宋_GB2312"/>
      <w:sz w:val="28"/>
      <w:szCs w:val="20"/>
    </w:rPr>
  </w:style>
  <w:style w:type="paragraph" w:styleId="14">
    <w:name w:val="toc 4"/>
    <w:basedOn w:val="1"/>
    <w:next w:val="1"/>
    <w:qFormat/>
    <w:uiPriority w:val="39"/>
    <w:pPr>
      <w:autoSpaceDE w:val="0"/>
      <w:autoSpaceDN w:val="0"/>
      <w:adjustRightInd w:val="0"/>
      <w:ind w:left="1260"/>
    </w:pPr>
    <w:rPr>
      <w:rFonts w:ascii="宋体"/>
      <w:kern w:val="0"/>
      <w:szCs w:val="20"/>
    </w:rPr>
  </w:style>
  <w:style w:type="paragraph" w:styleId="15">
    <w:name w:val="Document Map"/>
    <w:basedOn w:val="1"/>
    <w:link w:val="63"/>
    <w:unhideWhenUsed/>
    <w:qFormat/>
    <w:uiPriority w:val="99"/>
    <w:rPr>
      <w:rFonts w:ascii="宋体" w:hAnsi="Calibri"/>
      <w:sz w:val="18"/>
      <w:szCs w:val="18"/>
    </w:rPr>
  </w:style>
  <w:style w:type="paragraph" w:styleId="16">
    <w:name w:val="annotation text"/>
    <w:basedOn w:val="1"/>
    <w:link w:val="36"/>
    <w:qFormat/>
    <w:uiPriority w:val="99"/>
    <w:pPr>
      <w:jc w:val="left"/>
    </w:pPr>
    <w:rPr>
      <w:rFonts w:ascii="Calibri" w:hAnsi="Calibri"/>
    </w:rPr>
  </w:style>
  <w:style w:type="paragraph" w:styleId="17">
    <w:name w:val="Body Text"/>
    <w:basedOn w:val="1"/>
    <w:next w:val="18"/>
    <w:link w:val="37"/>
    <w:unhideWhenUsed/>
    <w:qFormat/>
    <w:uiPriority w:val="99"/>
    <w:pPr>
      <w:spacing w:after="120"/>
    </w:pPr>
  </w:style>
  <w:style w:type="paragraph" w:styleId="18">
    <w:name w:val="toc 2"/>
    <w:basedOn w:val="1"/>
    <w:next w:val="1"/>
    <w:semiHidden/>
    <w:qFormat/>
    <w:uiPriority w:val="0"/>
    <w:pPr>
      <w:ind w:left="420" w:leftChars="200"/>
    </w:pPr>
  </w:style>
  <w:style w:type="paragraph" w:styleId="19">
    <w:name w:val="Body Text Indent"/>
    <w:basedOn w:val="1"/>
    <w:link w:val="38"/>
    <w:qFormat/>
    <w:uiPriority w:val="0"/>
    <w:pPr>
      <w:ind w:firstLine="570"/>
    </w:pPr>
    <w:rPr>
      <w:rFonts w:ascii="宋体" w:hAnsi="宋体"/>
      <w:sz w:val="28"/>
      <w:szCs w:val="22"/>
    </w:rPr>
  </w:style>
  <w:style w:type="paragraph" w:styleId="20">
    <w:name w:val="Balloon Text"/>
    <w:basedOn w:val="1"/>
    <w:link w:val="39"/>
    <w:unhideWhenUsed/>
    <w:qFormat/>
    <w:uiPriority w:val="99"/>
    <w:rPr>
      <w:sz w:val="18"/>
      <w:szCs w:val="18"/>
    </w:rPr>
  </w:style>
  <w:style w:type="paragraph" w:styleId="21">
    <w:name w:val="footer"/>
    <w:basedOn w:val="1"/>
    <w:link w:val="40"/>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64"/>
    <w:qFormat/>
    <w:uiPriority w:val="11"/>
    <w:pPr>
      <w:jc w:val="center"/>
    </w:pPr>
    <w:rPr>
      <w:rFonts w:ascii="等线 Light" w:hAnsi="等线 Light" w:eastAsia="等线 Light"/>
      <w:color w:val="595959"/>
      <w:spacing w:val="15"/>
      <w:sz w:val="28"/>
      <w:szCs w:val="28"/>
    </w:rPr>
  </w:style>
  <w:style w:type="paragraph" w:styleId="24">
    <w:name w:val="footnote text"/>
    <w:basedOn w:val="1"/>
    <w:unhideWhenUsed/>
    <w:qFormat/>
    <w:uiPriority w:val="99"/>
    <w:pPr>
      <w:snapToGrid w:val="0"/>
      <w:jc w:val="left"/>
    </w:pPr>
    <w:rPr>
      <w:sz w:val="18"/>
      <w:szCs w:val="18"/>
    </w:rPr>
  </w:style>
  <w:style w:type="paragraph" w:styleId="2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65"/>
    <w:qFormat/>
    <w:uiPriority w:val="10"/>
    <w:pPr>
      <w:spacing w:after="80"/>
      <w:contextualSpacing/>
      <w:jc w:val="center"/>
    </w:pPr>
    <w:rPr>
      <w:rFonts w:ascii="等线 Light" w:hAnsi="等线 Light" w:eastAsia="等线 Light"/>
      <w:spacing w:val="-10"/>
      <w:kern w:val="28"/>
      <w:sz w:val="56"/>
      <w:szCs w:val="56"/>
    </w:rPr>
  </w:style>
  <w:style w:type="table" w:styleId="28">
    <w:name w:val="Table Grid"/>
    <w:basedOn w:val="2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annotation reference"/>
    <w:basedOn w:val="29"/>
    <w:unhideWhenUsed/>
    <w:qFormat/>
    <w:uiPriority w:val="99"/>
    <w:rPr>
      <w:sz w:val="21"/>
      <w:szCs w:val="21"/>
    </w:rPr>
  </w:style>
  <w:style w:type="character" w:customStyle="1" w:styleId="33">
    <w:name w:val="纯文本 字符"/>
    <w:link w:val="2"/>
    <w:qFormat/>
    <w:uiPriority w:val="0"/>
    <w:rPr>
      <w:rFonts w:ascii="宋体" w:hAnsi="Courier New" w:eastAsia="宋体"/>
      <w:sz w:val="24"/>
    </w:rPr>
  </w:style>
  <w:style w:type="character" w:customStyle="1" w:styleId="34">
    <w:name w:val="标题 1 字符"/>
    <w:basedOn w:val="29"/>
    <w:link w:val="4"/>
    <w:qFormat/>
    <w:uiPriority w:val="9"/>
    <w:rPr>
      <w:rFonts w:ascii="Times New Roman" w:hAnsi="Times New Roman" w:eastAsia="宋体" w:cs="Times New Roman"/>
      <w:b/>
      <w:bCs/>
      <w:kern w:val="44"/>
      <w:sz w:val="44"/>
      <w:szCs w:val="44"/>
    </w:rPr>
  </w:style>
  <w:style w:type="character" w:customStyle="1" w:styleId="35">
    <w:name w:val="标题 2 字符"/>
    <w:basedOn w:val="29"/>
    <w:link w:val="5"/>
    <w:qFormat/>
    <w:uiPriority w:val="9"/>
    <w:rPr>
      <w:rFonts w:ascii="Arial" w:hAnsi="Arial" w:eastAsia="黑体" w:cs="Times New Roman"/>
      <w:b/>
      <w:bCs/>
      <w:sz w:val="32"/>
      <w:szCs w:val="32"/>
    </w:rPr>
  </w:style>
  <w:style w:type="character" w:customStyle="1" w:styleId="36">
    <w:name w:val="批注文字 字符"/>
    <w:link w:val="16"/>
    <w:semiHidden/>
    <w:qFormat/>
    <w:uiPriority w:val="0"/>
    <w:rPr>
      <w:rFonts w:eastAsia="宋体"/>
      <w:szCs w:val="24"/>
    </w:rPr>
  </w:style>
  <w:style w:type="character" w:customStyle="1" w:styleId="37">
    <w:name w:val="正文文本 字符"/>
    <w:basedOn w:val="29"/>
    <w:link w:val="17"/>
    <w:semiHidden/>
    <w:qFormat/>
    <w:uiPriority w:val="99"/>
    <w:rPr>
      <w:rFonts w:ascii="Times New Roman" w:hAnsi="Times New Roman" w:eastAsia="宋体" w:cs="Times New Roman"/>
      <w:szCs w:val="24"/>
    </w:rPr>
  </w:style>
  <w:style w:type="character" w:customStyle="1" w:styleId="38">
    <w:name w:val="正文文本缩进 字符"/>
    <w:link w:val="19"/>
    <w:qFormat/>
    <w:uiPriority w:val="0"/>
    <w:rPr>
      <w:rFonts w:ascii="宋体" w:hAnsi="宋体" w:eastAsia="宋体"/>
      <w:sz w:val="28"/>
    </w:rPr>
  </w:style>
  <w:style w:type="character" w:customStyle="1" w:styleId="39">
    <w:name w:val="批注框文本 字符"/>
    <w:basedOn w:val="29"/>
    <w:link w:val="20"/>
    <w:semiHidden/>
    <w:qFormat/>
    <w:uiPriority w:val="99"/>
    <w:rPr>
      <w:rFonts w:ascii="Times New Roman" w:hAnsi="Times New Roman" w:eastAsia="宋体" w:cs="Times New Roman"/>
      <w:sz w:val="18"/>
      <w:szCs w:val="18"/>
    </w:rPr>
  </w:style>
  <w:style w:type="character" w:customStyle="1" w:styleId="40">
    <w:name w:val="页脚 字符"/>
    <w:basedOn w:val="29"/>
    <w:link w:val="21"/>
    <w:qFormat/>
    <w:uiPriority w:val="99"/>
    <w:rPr>
      <w:sz w:val="18"/>
      <w:szCs w:val="18"/>
    </w:rPr>
  </w:style>
  <w:style w:type="character" w:customStyle="1" w:styleId="41">
    <w:name w:val="页眉 字符"/>
    <w:basedOn w:val="29"/>
    <w:link w:val="22"/>
    <w:qFormat/>
    <w:uiPriority w:val="99"/>
    <w:rPr>
      <w:sz w:val="18"/>
      <w:szCs w:val="18"/>
    </w:rPr>
  </w:style>
  <w:style w:type="character" w:customStyle="1" w:styleId="42">
    <w:name w:val="font41"/>
    <w:basedOn w:val="29"/>
    <w:qFormat/>
    <w:uiPriority w:val="0"/>
    <w:rPr>
      <w:rFonts w:hint="eastAsia" w:ascii="微软雅黑" w:hAnsi="微软雅黑" w:eastAsia="微软雅黑" w:cs="微软雅黑"/>
      <w:color w:val="000000"/>
      <w:sz w:val="20"/>
      <w:szCs w:val="20"/>
      <w:u w:val="none"/>
    </w:rPr>
  </w:style>
  <w:style w:type="character" w:customStyle="1" w:styleId="43">
    <w:name w:val="正文文本缩进 Char1"/>
    <w:basedOn w:val="29"/>
    <w:semiHidden/>
    <w:qFormat/>
    <w:uiPriority w:val="99"/>
    <w:rPr>
      <w:rFonts w:ascii="Times New Roman" w:hAnsi="Times New Roman" w:eastAsia="宋体" w:cs="Times New Roman"/>
      <w:szCs w:val="24"/>
    </w:rPr>
  </w:style>
  <w:style w:type="character" w:customStyle="1" w:styleId="44">
    <w:name w:val="font71"/>
    <w:basedOn w:val="29"/>
    <w:qFormat/>
    <w:uiPriority w:val="0"/>
    <w:rPr>
      <w:rFonts w:hint="eastAsia" w:ascii="微软雅黑" w:hAnsi="微软雅黑" w:eastAsia="微软雅黑" w:cs="微软雅黑"/>
      <w:i/>
      <w:iCs/>
      <w:color w:val="000000"/>
      <w:sz w:val="20"/>
      <w:szCs w:val="20"/>
      <w:u w:val="none"/>
    </w:rPr>
  </w:style>
  <w:style w:type="character" w:customStyle="1" w:styleId="45">
    <w:name w:val="font91"/>
    <w:basedOn w:val="29"/>
    <w:qFormat/>
    <w:uiPriority w:val="0"/>
    <w:rPr>
      <w:rFonts w:hint="eastAsia" w:ascii="微软雅黑" w:hAnsi="微软雅黑" w:eastAsia="微软雅黑" w:cs="微软雅黑"/>
      <w:i/>
      <w:iCs/>
      <w:color w:val="000000"/>
      <w:sz w:val="20"/>
      <w:szCs w:val="20"/>
      <w:u w:val="none"/>
    </w:rPr>
  </w:style>
  <w:style w:type="character" w:customStyle="1" w:styleId="46">
    <w:name w:val="纯文本 Char1"/>
    <w:basedOn w:val="29"/>
    <w:semiHidden/>
    <w:qFormat/>
    <w:uiPriority w:val="99"/>
    <w:rPr>
      <w:rFonts w:ascii="宋体" w:hAnsi="Courier New" w:eastAsia="宋体" w:cs="Courier New"/>
      <w:szCs w:val="21"/>
    </w:rPr>
  </w:style>
  <w:style w:type="character" w:customStyle="1" w:styleId="47">
    <w:name w:val="批注文字 Char1"/>
    <w:basedOn w:val="29"/>
    <w:semiHidden/>
    <w:qFormat/>
    <w:uiPriority w:val="99"/>
    <w:rPr>
      <w:rFonts w:ascii="Times New Roman" w:hAnsi="Times New Roman" w:eastAsia="宋体" w:cs="Times New Roman"/>
      <w:szCs w:val="24"/>
    </w:rPr>
  </w:style>
  <w:style w:type="paragraph" w:customStyle="1" w:styleId="48">
    <w:name w:val="列出段落1"/>
    <w:basedOn w:val="1"/>
    <w:qFormat/>
    <w:uiPriority w:val="1"/>
    <w:pPr>
      <w:ind w:firstLine="420" w:firstLineChars="200"/>
    </w:pPr>
  </w:style>
  <w:style w:type="paragraph" w:styleId="49">
    <w:name w:val="List Paragraph"/>
    <w:basedOn w:val="1"/>
    <w:qFormat/>
    <w:uiPriority w:val="34"/>
    <w:pPr>
      <w:ind w:firstLine="420" w:firstLineChars="200"/>
    </w:pPr>
    <w:rPr>
      <w:rFonts w:ascii="Calibri" w:hAnsi="Calibri"/>
      <w:szCs w:val="22"/>
    </w:rPr>
  </w:style>
  <w:style w:type="paragraph" w:customStyle="1" w:styleId="50">
    <w:name w:val="彩色列表1"/>
    <w:basedOn w:val="1"/>
    <w:qFormat/>
    <w:uiPriority w:val="34"/>
    <w:pPr>
      <w:ind w:firstLine="420" w:firstLineChars="200"/>
    </w:pPr>
    <w:rPr>
      <w:rFonts w:ascii="Calibri" w:hAnsi="Calibri"/>
      <w:szCs w:val="22"/>
    </w:rPr>
  </w:style>
  <w:style w:type="paragraph" w:customStyle="1" w:styleId="51">
    <w:name w:val="样式1"/>
    <w:basedOn w:val="1"/>
    <w:qFormat/>
    <w:uiPriority w:val="0"/>
    <w:pPr>
      <w:tabs>
        <w:tab w:val="left" w:pos="709"/>
      </w:tabs>
      <w:ind w:left="784" w:hanging="360"/>
    </w:pPr>
    <w:rPr>
      <w:rFonts w:ascii="宋体" w:hAnsi="宋体" w:eastAsia="楷体_GB2312"/>
      <w:sz w:val="26"/>
      <w:szCs w:val="20"/>
    </w:rPr>
  </w:style>
  <w:style w:type="paragraph" w:customStyle="1" w:styleId="52">
    <w:name w:val="列表段落1"/>
    <w:basedOn w:val="1"/>
    <w:qFormat/>
    <w:uiPriority w:val="34"/>
    <w:pPr>
      <w:ind w:firstLine="420" w:firstLineChars="200"/>
    </w:pPr>
  </w:style>
  <w:style w:type="paragraph" w:customStyle="1" w:styleId="53">
    <w:name w:val="正文_0_0"/>
    <w:qFormat/>
    <w:uiPriority w:val="0"/>
    <w:pPr>
      <w:spacing w:after="160" w:line="278" w:lineRule="auto"/>
    </w:pPr>
    <w:rPr>
      <w:rFonts w:ascii="Times New Roman" w:hAnsi="Times New Roman" w:eastAsia="宋体" w:cs="Times New Roman"/>
      <w:sz w:val="21"/>
      <w:lang w:val="en-US" w:eastAsia="zh-CN" w:bidi="ar-SA"/>
    </w:rPr>
  </w:style>
  <w:style w:type="paragraph" w:customStyle="1" w:styleId="54">
    <w:name w:val="_Style 45"/>
    <w:basedOn w:val="1"/>
    <w:next w:val="52"/>
    <w:qFormat/>
    <w:uiPriority w:val="34"/>
    <w:pPr>
      <w:ind w:firstLine="420" w:firstLineChars="200"/>
    </w:pPr>
  </w:style>
  <w:style w:type="paragraph" w:customStyle="1" w:styleId="55">
    <w:name w:val="Other|1"/>
    <w:basedOn w:val="1"/>
    <w:qFormat/>
    <w:uiPriority w:val="0"/>
    <w:rPr>
      <w:rFonts w:ascii="MS Mincho" w:hAnsi="MS Mincho" w:eastAsia="MS Mincho" w:cs="MS Mincho"/>
      <w:sz w:val="20"/>
      <w:szCs w:val="20"/>
    </w:rPr>
  </w:style>
  <w:style w:type="paragraph" w:customStyle="1" w:styleId="5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57">
    <w:name w:val="标题 3 字符"/>
    <w:basedOn w:val="29"/>
    <w:link w:val="6"/>
    <w:qFormat/>
    <w:uiPriority w:val="9"/>
    <w:rPr>
      <w:rFonts w:ascii="等线 Light" w:hAnsi="等线 Light" w:eastAsia="等线 Light"/>
      <w:color w:val="0F4761"/>
      <w:kern w:val="2"/>
      <w:sz w:val="32"/>
      <w:szCs w:val="32"/>
    </w:rPr>
  </w:style>
  <w:style w:type="character" w:customStyle="1" w:styleId="58">
    <w:name w:val="标题 5 字符"/>
    <w:basedOn w:val="29"/>
    <w:link w:val="8"/>
    <w:qFormat/>
    <w:uiPriority w:val="9"/>
    <w:rPr>
      <w:rFonts w:ascii="Calibri" w:hAnsi="Calibri"/>
      <w:color w:val="0F4761"/>
      <w:kern w:val="2"/>
      <w:sz w:val="24"/>
      <w:szCs w:val="24"/>
    </w:rPr>
  </w:style>
  <w:style w:type="character" w:customStyle="1" w:styleId="59">
    <w:name w:val="标题 6 字符"/>
    <w:basedOn w:val="29"/>
    <w:link w:val="9"/>
    <w:qFormat/>
    <w:uiPriority w:val="9"/>
    <w:rPr>
      <w:rFonts w:ascii="Calibri" w:hAnsi="Calibri"/>
      <w:b/>
      <w:bCs/>
      <w:color w:val="0F4761"/>
      <w:kern w:val="2"/>
      <w:sz w:val="21"/>
      <w:szCs w:val="22"/>
    </w:rPr>
  </w:style>
  <w:style w:type="character" w:customStyle="1" w:styleId="60">
    <w:name w:val="标题 7 字符"/>
    <w:basedOn w:val="29"/>
    <w:link w:val="10"/>
    <w:qFormat/>
    <w:uiPriority w:val="9"/>
    <w:rPr>
      <w:rFonts w:ascii="Calibri" w:hAnsi="Calibri"/>
      <w:b/>
      <w:bCs/>
      <w:color w:val="595959"/>
      <w:kern w:val="2"/>
      <w:sz w:val="21"/>
      <w:szCs w:val="22"/>
    </w:rPr>
  </w:style>
  <w:style w:type="character" w:customStyle="1" w:styleId="61">
    <w:name w:val="标题 8 字符"/>
    <w:basedOn w:val="29"/>
    <w:link w:val="11"/>
    <w:qFormat/>
    <w:uiPriority w:val="9"/>
    <w:rPr>
      <w:rFonts w:ascii="Calibri" w:hAnsi="Calibri"/>
      <w:color w:val="595959"/>
      <w:kern w:val="2"/>
      <w:sz w:val="21"/>
      <w:szCs w:val="22"/>
    </w:rPr>
  </w:style>
  <w:style w:type="character" w:customStyle="1" w:styleId="62">
    <w:name w:val="标题 9 字符"/>
    <w:basedOn w:val="29"/>
    <w:link w:val="12"/>
    <w:qFormat/>
    <w:uiPriority w:val="9"/>
    <w:rPr>
      <w:rFonts w:ascii="Calibri" w:hAnsi="Calibri" w:eastAsia="等线 Light"/>
      <w:color w:val="595959"/>
      <w:kern w:val="2"/>
      <w:sz w:val="21"/>
      <w:szCs w:val="22"/>
    </w:rPr>
  </w:style>
  <w:style w:type="character" w:customStyle="1" w:styleId="63">
    <w:name w:val="文档结构图 字符"/>
    <w:basedOn w:val="29"/>
    <w:link w:val="15"/>
    <w:qFormat/>
    <w:uiPriority w:val="99"/>
    <w:rPr>
      <w:rFonts w:ascii="宋体" w:hAnsi="Calibri"/>
      <w:kern w:val="2"/>
      <w:sz w:val="18"/>
      <w:szCs w:val="18"/>
    </w:rPr>
  </w:style>
  <w:style w:type="character" w:customStyle="1" w:styleId="64">
    <w:name w:val="副标题 字符"/>
    <w:basedOn w:val="29"/>
    <w:link w:val="23"/>
    <w:qFormat/>
    <w:uiPriority w:val="11"/>
    <w:rPr>
      <w:rFonts w:ascii="等线 Light" w:hAnsi="等线 Light" w:eastAsia="等线 Light"/>
      <w:color w:val="595959"/>
      <w:spacing w:val="15"/>
      <w:kern w:val="2"/>
      <w:sz w:val="28"/>
      <w:szCs w:val="28"/>
    </w:rPr>
  </w:style>
  <w:style w:type="character" w:customStyle="1" w:styleId="65">
    <w:name w:val="标题 字符"/>
    <w:basedOn w:val="29"/>
    <w:link w:val="26"/>
    <w:qFormat/>
    <w:uiPriority w:val="10"/>
    <w:rPr>
      <w:rFonts w:ascii="等线 Light" w:hAnsi="等线 Light" w:eastAsia="等线 Light"/>
      <w:spacing w:val="-10"/>
      <w:kern w:val="28"/>
      <w:sz w:val="56"/>
      <w:szCs w:val="56"/>
    </w:rPr>
  </w:style>
  <w:style w:type="character" w:customStyle="1" w:styleId="66">
    <w:name w:val="标题 4 字符"/>
    <w:basedOn w:val="29"/>
    <w:link w:val="7"/>
    <w:qFormat/>
    <w:uiPriority w:val="9"/>
    <w:rPr>
      <w:rFonts w:ascii="宋体" w:hAnsi="Arial" w:cs="宋体"/>
      <w:color w:val="000000"/>
      <w:sz w:val="21"/>
    </w:rPr>
  </w:style>
  <w:style w:type="paragraph" w:styleId="67">
    <w:name w:val="Quote"/>
    <w:basedOn w:val="1"/>
    <w:next w:val="1"/>
    <w:link w:val="68"/>
    <w:qFormat/>
    <w:uiPriority w:val="29"/>
    <w:pPr>
      <w:spacing w:before="160"/>
      <w:jc w:val="center"/>
    </w:pPr>
    <w:rPr>
      <w:rFonts w:ascii="Calibri" w:hAnsi="Calibri"/>
      <w:i/>
      <w:iCs/>
      <w:color w:val="3F3F3F"/>
      <w:szCs w:val="22"/>
    </w:rPr>
  </w:style>
  <w:style w:type="character" w:customStyle="1" w:styleId="68">
    <w:name w:val="引用 字符"/>
    <w:basedOn w:val="29"/>
    <w:link w:val="67"/>
    <w:qFormat/>
    <w:uiPriority w:val="29"/>
    <w:rPr>
      <w:rFonts w:ascii="Calibri" w:hAnsi="Calibri"/>
      <w:i/>
      <w:iCs/>
      <w:color w:val="3F3F3F"/>
      <w:kern w:val="2"/>
      <w:sz w:val="21"/>
      <w:szCs w:val="22"/>
    </w:rPr>
  </w:style>
  <w:style w:type="character" w:customStyle="1" w:styleId="69">
    <w:name w:val="明显强调1"/>
    <w:basedOn w:val="29"/>
    <w:qFormat/>
    <w:uiPriority w:val="21"/>
    <w:rPr>
      <w:i/>
      <w:iCs/>
      <w:color w:val="0F4761"/>
    </w:rPr>
  </w:style>
  <w:style w:type="paragraph" w:styleId="70">
    <w:name w:val="Intense Quote"/>
    <w:basedOn w:val="1"/>
    <w:next w:val="1"/>
    <w:link w:val="71"/>
    <w:qFormat/>
    <w:uiPriority w:val="30"/>
    <w:pPr>
      <w:pBdr>
        <w:top w:val="single" w:color="0F4761" w:sz="4" w:space="10"/>
        <w:bottom w:val="single" w:color="0F4761" w:sz="4" w:space="10"/>
      </w:pBdr>
      <w:spacing w:before="360" w:after="360"/>
      <w:ind w:left="864" w:right="864"/>
      <w:jc w:val="center"/>
    </w:pPr>
    <w:rPr>
      <w:rFonts w:ascii="Calibri" w:hAnsi="Calibri"/>
      <w:i/>
      <w:iCs/>
      <w:color w:val="0F4761"/>
      <w:szCs w:val="22"/>
    </w:rPr>
  </w:style>
  <w:style w:type="character" w:customStyle="1" w:styleId="71">
    <w:name w:val="明显引用 字符"/>
    <w:basedOn w:val="29"/>
    <w:link w:val="70"/>
    <w:qFormat/>
    <w:uiPriority w:val="30"/>
    <w:rPr>
      <w:rFonts w:ascii="Calibri" w:hAnsi="Calibri"/>
      <w:i/>
      <w:iCs/>
      <w:color w:val="0F4761"/>
      <w:kern w:val="2"/>
      <w:sz w:val="21"/>
      <w:szCs w:val="22"/>
    </w:rPr>
  </w:style>
  <w:style w:type="character" w:customStyle="1" w:styleId="72">
    <w:name w:val="明显参考1"/>
    <w:basedOn w:val="29"/>
    <w:qFormat/>
    <w:uiPriority w:val="32"/>
    <w:rPr>
      <w:b/>
      <w:bCs/>
      <w:smallCaps/>
      <w:color w:val="0F4761"/>
      <w:spacing w:val="5"/>
    </w:rPr>
  </w:style>
  <w:style w:type="character" w:customStyle="1" w:styleId="73">
    <w:name w:val="font21"/>
    <w:basedOn w:val="29"/>
    <w:qFormat/>
    <w:uiPriority w:val="0"/>
    <w:rPr>
      <w:rFonts w:hint="eastAsia" w:ascii="宋体" w:hAnsi="宋体" w:eastAsia="宋体" w:cs="宋体"/>
      <w:color w:val="000000"/>
      <w:sz w:val="20"/>
      <w:szCs w:val="20"/>
      <w:u w:val="none"/>
    </w:rPr>
  </w:style>
  <w:style w:type="character" w:customStyle="1" w:styleId="74">
    <w:name w:val="font01"/>
    <w:basedOn w:val="29"/>
    <w:qFormat/>
    <w:uiPriority w:val="0"/>
    <w:rPr>
      <w:rFonts w:hint="eastAsia" w:ascii="宋体" w:hAnsi="宋体" w:eastAsia="宋体" w:cs="宋体"/>
      <w:color w:val="FF0000"/>
      <w:sz w:val="20"/>
      <w:szCs w:val="20"/>
      <w:u w:val="none"/>
    </w:rPr>
  </w:style>
  <w:style w:type="paragraph" w:customStyle="1" w:styleId="75">
    <w:name w:val="修订11"/>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character" w:customStyle="1" w:styleId="76">
    <w:name w:val="font51"/>
    <w:basedOn w:val="29"/>
    <w:qFormat/>
    <w:uiPriority w:val="0"/>
    <w:rPr>
      <w:rFonts w:hint="eastAsia" w:ascii="宋体" w:hAnsi="宋体" w:eastAsia="宋体" w:cs="宋体"/>
      <w:color w:val="FF0000"/>
      <w:sz w:val="24"/>
      <w:szCs w:val="24"/>
      <w:u w:val="none"/>
    </w:rPr>
  </w:style>
  <w:style w:type="paragraph" w:customStyle="1" w:styleId="7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11B54-EAAE-4562-9DBD-7E78B8712FD1}">
  <ds:schemaRefs/>
</ds:datastoreItem>
</file>

<file path=docProps/app.xml><?xml version="1.0" encoding="utf-8"?>
<Properties xmlns="http://schemas.openxmlformats.org/officeDocument/2006/extended-properties" xmlns:vt="http://schemas.openxmlformats.org/officeDocument/2006/docPropsVTypes">
  <Template>Normal</Template>
  <Pages>92</Pages>
  <Words>10287</Words>
  <Characters>10865</Characters>
  <Lines>2129</Lines>
  <Paragraphs>1626</Paragraphs>
  <TotalTime>33</TotalTime>
  <ScaleCrop>false</ScaleCrop>
  <LinksUpToDate>false</LinksUpToDate>
  <CharactersWithSpaces>11104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2026-01-13T17:14:00Z</dcterms:created>
  <dc:creator>杨振焕</dc:creator>
  <cp:lastModifiedBy>一条河</cp:lastModifiedBy>
  <cp:lastPrinted>2024-12-25T10:49:00Z</cp:lastPrinted>
  <dcterms:modified xsi:type="dcterms:W3CDTF">2026-02-13T09:19:07Z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36281AD04C9CE0EAC8DE8B6912FAE03C_43</vt:lpwstr>
  </property>
  <property fmtid="{D5CDD505-2E9C-101B-9397-08002B2CF9AE}" pid="4" name="KSOTemplateDocerSaveRecord">
    <vt:lpwstr>eyJoZGlkIjoiMDkzNTNjODQ4MTY5ODliM2M1ZTVhMmQxNzkzZWE4OWIiLCJ1c2VySWQiOiI0NDc1MDIzNzgifQ==</vt:lpwstr>
  </property>
</Properties>
</file>